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92589" w14:textId="77777777" w:rsidR="00640892" w:rsidRPr="00115C53" w:rsidRDefault="00640892" w:rsidP="00640892">
      <w:pPr>
        <w:jc w:val="center"/>
        <w:rPr>
          <w:rFonts w:ascii="Times New Roman" w:eastAsia="Times New Roman" w:hAnsi="Times New Roman" w:cs="Times New Roman"/>
        </w:rPr>
      </w:pPr>
      <w:r w:rsidRPr="00115C53">
        <w:rPr>
          <w:rFonts w:ascii="Times New Roman" w:eastAsia="Times New Roman" w:hAnsi="Times New Roman" w:cs="Times New Roman"/>
        </w:rPr>
        <w:t xml:space="preserve">Paul’s </w:t>
      </w:r>
      <w:r w:rsidR="00970BB9" w:rsidRPr="00115C53">
        <w:rPr>
          <w:rFonts w:ascii="Times New Roman" w:eastAsia="Times New Roman" w:hAnsi="Times New Roman" w:cs="Times New Roman"/>
        </w:rPr>
        <w:t>Encomion</w:t>
      </w:r>
      <w:r w:rsidRPr="00115C53">
        <w:rPr>
          <w:rFonts w:ascii="Times New Roman" w:eastAsia="Times New Roman" w:hAnsi="Times New Roman" w:cs="Times New Roman"/>
        </w:rPr>
        <w:t xml:space="preserve"> for the Messiah:</w:t>
      </w:r>
    </w:p>
    <w:p w14:paraId="6DC1D4EE" w14:textId="3B9957AD" w:rsidR="00640892" w:rsidRPr="00115C53" w:rsidRDefault="00640892" w:rsidP="00640892">
      <w:pPr>
        <w:jc w:val="center"/>
        <w:rPr>
          <w:rFonts w:ascii="Times New Roman" w:eastAsia="Times New Roman" w:hAnsi="Times New Roman" w:cs="Times New Roman"/>
        </w:rPr>
      </w:pPr>
      <w:r w:rsidRPr="00115C53">
        <w:rPr>
          <w:rFonts w:ascii="Times New Roman" w:eastAsia="Times New Roman" w:hAnsi="Times New Roman" w:cs="Times New Roman"/>
        </w:rPr>
        <w:t>Colossia</w:t>
      </w:r>
      <w:r w:rsidR="005F45EB">
        <w:rPr>
          <w:rFonts w:ascii="Times New Roman" w:eastAsia="Times New Roman" w:hAnsi="Times New Roman" w:cs="Times New Roman"/>
        </w:rPr>
        <w:t>ns 1:15-20 as</w:t>
      </w:r>
      <w:r w:rsidR="005F45EB" w:rsidRPr="005F45EB">
        <w:rPr>
          <w:rFonts w:ascii="Gentium Plus" w:hAnsi="Gentium Plus"/>
          <w:lang w:val="el-GR"/>
        </w:rPr>
        <w:t xml:space="preserve"> </w:t>
      </w:r>
      <w:r w:rsidR="005F45EB">
        <w:rPr>
          <w:rFonts w:ascii="Gentium Plus" w:hAnsi="Gentium Plus"/>
          <w:lang w:val="el-GR"/>
        </w:rPr>
        <w:t>ὁ βασιλικὸς λόγος</w:t>
      </w:r>
    </w:p>
    <w:p w14:paraId="40129856" w14:textId="77777777" w:rsidR="00640892" w:rsidRPr="00115C53" w:rsidRDefault="00640892" w:rsidP="00640892">
      <w:pPr>
        <w:rPr>
          <w:rFonts w:ascii="Times New Roman" w:eastAsia="Times New Roman" w:hAnsi="Times New Roman" w:cs="Times New Roman"/>
        </w:rPr>
      </w:pPr>
    </w:p>
    <w:p w14:paraId="246AE80C" w14:textId="77777777" w:rsidR="00640892" w:rsidRPr="00115C53" w:rsidRDefault="00640892" w:rsidP="00640892">
      <w:pPr>
        <w:jc w:val="both"/>
        <w:rPr>
          <w:rFonts w:ascii="Times New Roman" w:eastAsia="Times New Roman" w:hAnsi="Times New Roman" w:cs="Times New Roman"/>
        </w:rPr>
      </w:pPr>
      <w:r w:rsidRPr="00115C53">
        <w:rPr>
          <w:rFonts w:ascii="Times New Roman" w:eastAsia="Times New Roman" w:hAnsi="Times New Roman" w:cs="Times New Roman"/>
        </w:rPr>
        <w:t>ABSTRACT</w:t>
      </w:r>
    </w:p>
    <w:p w14:paraId="3454CECE" w14:textId="77777777" w:rsidR="00640892" w:rsidRPr="00115C53" w:rsidRDefault="00640892" w:rsidP="00640892">
      <w:pPr>
        <w:jc w:val="both"/>
        <w:rPr>
          <w:rFonts w:ascii="Times New Roman" w:eastAsia="Times New Roman" w:hAnsi="Times New Roman" w:cs="Times New Roman"/>
        </w:rPr>
      </w:pPr>
    </w:p>
    <w:p w14:paraId="348E8263" w14:textId="2E0B7298" w:rsidR="00706733" w:rsidRPr="003C34BC" w:rsidRDefault="00640892" w:rsidP="00640892">
      <w:pPr>
        <w:jc w:val="both"/>
        <w:rPr>
          <w:rFonts w:ascii="Times New Roman" w:hAnsi="Times New Roman" w:cs="Times New Roman"/>
          <w:sz w:val="20"/>
          <w:szCs w:val="20"/>
        </w:rPr>
      </w:pPr>
      <w:r w:rsidRPr="003C34BC">
        <w:rPr>
          <w:rFonts w:ascii="Times New Roman" w:eastAsia="Times New Roman" w:hAnsi="Times New Roman" w:cs="Times New Roman"/>
          <w:sz w:val="20"/>
          <w:szCs w:val="20"/>
        </w:rPr>
        <w:t>The conceptual and linguistic resources for understanding the Christ-hymn of</w:t>
      </w:r>
      <w:r w:rsidR="00401DAC" w:rsidRPr="003C34BC">
        <w:rPr>
          <w:rFonts w:ascii="Times New Roman" w:eastAsia="Times New Roman" w:hAnsi="Times New Roman" w:cs="Times New Roman"/>
          <w:sz w:val="20"/>
          <w:szCs w:val="20"/>
        </w:rPr>
        <w:t xml:space="preserve"> Colossians 1:15-20 is not </w:t>
      </w:r>
      <w:r w:rsidR="000E3103">
        <w:rPr>
          <w:rFonts w:ascii="Times New Roman" w:eastAsia="Times New Roman" w:hAnsi="Times New Roman" w:cs="Times New Roman"/>
          <w:sz w:val="20"/>
          <w:szCs w:val="20"/>
        </w:rPr>
        <w:t>‘Wisdom-Christology’ or Middle-Platonic speculation upon intermediary figures</w:t>
      </w:r>
      <w:r w:rsidRPr="003C34BC">
        <w:rPr>
          <w:rFonts w:ascii="Times New Roman" w:eastAsia="Times New Roman" w:hAnsi="Times New Roman" w:cs="Times New Roman"/>
          <w:sz w:val="20"/>
          <w:szCs w:val="20"/>
        </w:rPr>
        <w:t xml:space="preserve"> but is, rather, found in the ancient practice of praise of kings, emperors, and rulers.  Hellenistic kings and Roman emperors were often assimilated to particular gods and thereby received honors – including hymnic praise – reserved for deities. Similarly, Jews often praised both past kings and the hoped-for coming messianic king through hymns – most notably in poetic seams in the Pentateuch and in the Psalms.</w:t>
      </w:r>
      <w:r w:rsidR="003C34BC" w:rsidRPr="003C34BC">
        <w:rPr>
          <w:rFonts w:ascii="Times New Roman" w:hAnsi="Times New Roman" w:cs="Times New Roman"/>
          <w:bCs/>
          <w:sz w:val="20"/>
          <w:szCs w:val="20"/>
        </w:rPr>
        <w:t xml:space="preserve">  O</w:t>
      </w:r>
      <w:bookmarkStart w:id="0" w:name="_GoBack"/>
      <w:bookmarkEnd w:id="0"/>
      <w:r w:rsidRPr="003C34BC">
        <w:rPr>
          <w:rFonts w:ascii="Times New Roman" w:hAnsi="Times New Roman" w:cs="Times New Roman"/>
          <w:bCs/>
          <w:sz w:val="20"/>
          <w:szCs w:val="20"/>
        </w:rPr>
        <w:t>ne frequently finds the following reasons for praising th</w:t>
      </w:r>
      <w:r w:rsidR="00401DAC" w:rsidRPr="003C34BC">
        <w:rPr>
          <w:rFonts w:ascii="Times New Roman" w:hAnsi="Times New Roman" w:cs="Times New Roman"/>
          <w:bCs/>
          <w:sz w:val="20"/>
          <w:szCs w:val="20"/>
        </w:rPr>
        <w:t>e king</w:t>
      </w:r>
      <w:r w:rsidR="003C34BC">
        <w:rPr>
          <w:rFonts w:ascii="Times New Roman" w:hAnsi="Times New Roman" w:cs="Times New Roman"/>
          <w:bCs/>
          <w:sz w:val="20"/>
          <w:szCs w:val="20"/>
        </w:rPr>
        <w:t xml:space="preserve"> in most hymns</w:t>
      </w:r>
      <w:r w:rsidR="00401DAC" w:rsidRPr="003C34BC">
        <w:rPr>
          <w:rFonts w:ascii="Times New Roman" w:hAnsi="Times New Roman" w:cs="Times New Roman"/>
          <w:bCs/>
          <w:sz w:val="20"/>
          <w:szCs w:val="20"/>
        </w:rPr>
        <w:t xml:space="preserve">: a) the king is a </w:t>
      </w:r>
      <w:r w:rsidRPr="003C34BC">
        <w:rPr>
          <w:rFonts w:ascii="Times New Roman" w:hAnsi="Times New Roman" w:cs="Times New Roman"/>
          <w:bCs/>
          <w:sz w:val="20"/>
          <w:szCs w:val="20"/>
        </w:rPr>
        <w:t xml:space="preserve">vicegerent of a god; b) the king upholds and sustains the created universe or </w:t>
      </w:r>
      <w:r w:rsidRPr="003C34BC">
        <w:rPr>
          <w:rFonts w:ascii="Times New Roman" w:hAnsi="Times New Roman" w:cs="Times New Roman"/>
          <w:bCs/>
          <w:i/>
          <w:iCs/>
          <w:sz w:val="20"/>
          <w:szCs w:val="20"/>
        </w:rPr>
        <w:t>oikoumene</w:t>
      </w:r>
      <w:r w:rsidRPr="003C34BC">
        <w:rPr>
          <w:rFonts w:ascii="Times New Roman" w:hAnsi="Times New Roman" w:cs="Times New Roman"/>
          <w:bCs/>
          <w:sz w:val="20"/>
          <w:szCs w:val="20"/>
        </w:rPr>
        <w:t xml:space="preserve">; c) the king is a worthy </w:t>
      </w:r>
      <w:r w:rsidR="00BE7138" w:rsidRPr="003C34BC">
        <w:rPr>
          <w:rFonts w:ascii="Times New Roman" w:hAnsi="Times New Roman" w:cs="Times New Roman"/>
          <w:bCs/>
          <w:sz w:val="20"/>
          <w:szCs w:val="20"/>
        </w:rPr>
        <w:t>ruler and benefactor who has</w:t>
      </w:r>
      <w:r w:rsidRPr="003C34BC">
        <w:rPr>
          <w:rFonts w:ascii="Times New Roman" w:hAnsi="Times New Roman" w:cs="Times New Roman"/>
          <w:bCs/>
          <w:sz w:val="20"/>
          <w:szCs w:val="20"/>
        </w:rPr>
        <w:t xml:space="preserve"> bestowed gifts </w:t>
      </w:r>
      <w:r w:rsidR="00A9768B" w:rsidRPr="003C34BC">
        <w:rPr>
          <w:rFonts w:ascii="Times New Roman" w:hAnsi="Times New Roman" w:cs="Times New Roman"/>
          <w:bCs/>
          <w:sz w:val="20"/>
          <w:szCs w:val="20"/>
        </w:rPr>
        <w:t xml:space="preserve">of </w:t>
      </w:r>
      <w:r w:rsidR="00053CE1" w:rsidRPr="003C34BC">
        <w:rPr>
          <w:rFonts w:ascii="Times New Roman" w:hAnsi="Times New Roman" w:cs="Times New Roman"/>
          <w:bCs/>
          <w:sz w:val="20"/>
          <w:szCs w:val="20"/>
        </w:rPr>
        <w:t xml:space="preserve">harmony and </w:t>
      </w:r>
      <w:r w:rsidR="00A9768B" w:rsidRPr="003C34BC">
        <w:rPr>
          <w:rFonts w:ascii="Times New Roman" w:hAnsi="Times New Roman" w:cs="Times New Roman"/>
          <w:bCs/>
          <w:sz w:val="20"/>
          <w:szCs w:val="20"/>
        </w:rPr>
        <w:t>peace to</w:t>
      </w:r>
      <w:r w:rsidR="00053CE1" w:rsidRPr="003C34BC">
        <w:rPr>
          <w:rFonts w:ascii="Times New Roman" w:hAnsi="Times New Roman" w:cs="Times New Roman"/>
          <w:bCs/>
          <w:sz w:val="20"/>
          <w:szCs w:val="20"/>
        </w:rPr>
        <w:t xml:space="preserve"> his subjects. All three </w:t>
      </w:r>
      <w:r w:rsidRPr="003C34BC">
        <w:rPr>
          <w:rFonts w:ascii="Times New Roman" w:hAnsi="Times New Roman" w:cs="Times New Roman"/>
          <w:bCs/>
          <w:sz w:val="20"/>
          <w:szCs w:val="20"/>
        </w:rPr>
        <w:t xml:space="preserve">reasons are paralleled in the Christ-hymn of Col. 1:15-20. </w:t>
      </w:r>
      <w:r w:rsidRPr="003C34BC">
        <w:rPr>
          <w:rFonts w:ascii="Times New Roman" w:hAnsi="Times New Roman" w:cs="Times New Roman"/>
          <w:sz w:val="20"/>
          <w:szCs w:val="20"/>
        </w:rPr>
        <w:t xml:space="preserve">Paul’s praise of the Messiah in the Colossian Christ-hymn is a creative development of Jewish Messianism and Hellenistic-Roman </w:t>
      </w:r>
      <w:r w:rsidR="00B71E88" w:rsidRPr="003C34BC">
        <w:rPr>
          <w:rFonts w:ascii="Times New Roman" w:hAnsi="Times New Roman" w:cs="Times New Roman"/>
          <w:sz w:val="20"/>
          <w:szCs w:val="20"/>
        </w:rPr>
        <w:t xml:space="preserve">kingship ideology and </w:t>
      </w:r>
      <w:r w:rsidRPr="003C34BC">
        <w:rPr>
          <w:rFonts w:ascii="Times New Roman" w:hAnsi="Times New Roman" w:cs="Times New Roman"/>
          <w:sz w:val="20"/>
          <w:szCs w:val="20"/>
        </w:rPr>
        <w:t>counter</w:t>
      </w:r>
      <w:r w:rsidR="00B71E88" w:rsidRPr="003C34BC">
        <w:rPr>
          <w:rFonts w:ascii="Times New Roman" w:hAnsi="Times New Roman" w:cs="Times New Roman"/>
          <w:sz w:val="20"/>
          <w:szCs w:val="20"/>
        </w:rPr>
        <w:t>s</w:t>
      </w:r>
      <w:r w:rsidRPr="003C34BC">
        <w:rPr>
          <w:rFonts w:ascii="Times New Roman" w:hAnsi="Times New Roman" w:cs="Times New Roman"/>
          <w:sz w:val="20"/>
          <w:szCs w:val="20"/>
        </w:rPr>
        <w:t xml:space="preserve"> the Colossians’ preocc</w:t>
      </w:r>
      <w:r w:rsidR="00401DAC" w:rsidRPr="003C34BC">
        <w:rPr>
          <w:rFonts w:ascii="Times New Roman" w:hAnsi="Times New Roman" w:cs="Times New Roman"/>
          <w:sz w:val="20"/>
          <w:szCs w:val="20"/>
        </w:rPr>
        <w:t>upation with</w:t>
      </w:r>
      <w:r w:rsidRPr="003C34BC">
        <w:rPr>
          <w:rFonts w:ascii="Times New Roman" w:hAnsi="Times New Roman" w:cs="Times New Roman"/>
          <w:sz w:val="20"/>
          <w:szCs w:val="20"/>
        </w:rPr>
        <w:t xml:space="preserve"> other powers as it allows them to</w:t>
      </w:r>
      <w:r w:rsidR="00053CE1" w:rsidRPr="003C34BC">
        <w:rPr>
          <w:rFonts w:ascii="Times New Roman" w:hAnsi="Times New Roman" w:cs="Times New Roman"/>
          <w:sz w:val="20"/>
          <w:szCs w:val="20"/>
        </w:rPr>
        <w:t xml:space="preserve"> participate in </w:t>
      </w:r>
      <w:r w:rsidR="003C34BC" w:rsidRPr="000E3103">
        <w:rPr>
          <w:rFonts w:ascii="Times New Roman" w:hAnsi="Times New Roman" w:cs="Times New Roman"/>
          <w:iCs/>
          <w:sz w:val="20"/>
          <w:szCs w:val="20"/>
        </w:rPr>
        <w:t>the rule of Christ as the only true king’s rule.</w:t>
      </w:r>
    </w:p>
    <w:p w14:paraId="5A2CE9BA" w14:textId="77777777" w:rsidR="00640892" w:rsidRDefault="00640892" w:rsidP="00640892">
      <w:pPr>
        <w:jc w:val="both"/>
      </w:pPr>
    </w:p>
    <w:p w14:paraId="080F75A4" w14:textId="53D469BB" w:rsidR="005A733D" w:rsidRDefault="009F7F5E" w:rsidP="00894638">
      <w:pPr>
        <w:spacing w:line="480" w:lineRule="auto"/>
        <w:jc w:val="both"/>
      </w:pPr>
      <w:r>
        <w:t xml:space="preserve">According to Pliny’s report to Trajan, </w:t>
      </w:r>
      <w:r w:rsidR="005A733D">
        <w:t>the early Christians “were in the habit of meeting on a certain fixed day before it was light, when they sang in alternate verses a hymn to Christ, as to a god (</w:t>
      </w:r>
      <w:r w:rsidR="00BC0BCE" w:rsidRPr="00BC0BCE">
        <w:rPr>
          <w:i/>
        </w:rPr>
        <w:t>carmenque Christi quasi deo</w:t>
      </w:r>
      <w:r w:rsidR="005A733D">
        <w:t>)” (</w:t>
      </w:r>
      <w:r w:rsidR="005A733D">
        <w:rPr>
          <w:i/>
        </w:rPr>
        <w:t xml:space="preserve">Letter </w:t>
      </w:r>
      <w:r w:rsidR="005A733D">
        <w:t>10.96</w:t>
      </w:r>
      <w:r w:rsidR="00427B1A">
        <w:t xml:space="preserve">; cf. Eusebius </w:t>
      </w:r>
      <w:r w:rsidR="00427B1A" w:rsidRPr="00427B1A">
        <w:rPr>
          <w:i/>
          <w:iCs/>
        </w:rPr>
        <w:t>The History of the Church</w:t>
      </w:r>
      <w:r w:rsidR="00427B1A">
        <w:t xml:space="preserve"> 3.33.1</w:t>
      </w:r>
      <w:r w:rsidR="005A733D">
        <w:t>).</w:t>
      </w:r>
      <w:r w:rsidR="00894638">
        <w:rPr>
          <w:rStyle w:val="FootnoteReference"/>
        </w:rPr>
        <w:footnoteReference w:id="1"/>
      </w:r>
      <w:r w:rsidR="00894638">
        <w:t xml:space="preserve"> </w:t>
      </w:r>
      <w:r w:rsidR="004A23F0">
        <w:t xml:space="preserve"> Pliny’s statement coheres </w:t>
      </w:r>
      <w:r w:rsidR="00B97D03">
        <w:t>well</w:t>
      </w:r>
      <w:r w:rsidR="004A23F0">
        <w:t xml:space="preserve"> with </w:t>
      </w:r>
      <w:r w:rsidR="00B50CE3">
        <w:t xml:space="preserve">early Christian </w:t>
      </w:r>
      <w:r w:rsidR="004A23F0">
        <w:t>texts that</w:t>
      </w:r>
      <w:r w:rsidR="00C433D4">
        <w:t xml:space="preserve"> </w:t>
      </w:r>
      <w:r w:rsidR="00BC0BCE">
        <w:t>testify t</w:t>
      </w:r>
      <w:r w:rsidR="00894638">
        <w:t>hat</w:t>
      </w:r>
      <w:r w:rsidR="00B7084F">
        <w:t xml:space="preserve"> it was</w:t>
      </w:r>
      <w:r w:rsidR="00195219">
        <w:t xml:space="preserve"> common practice within the worship gathering of the Christian assemblies </w:t>
      </w:r>
      <w:r w:rsidR="001331E1">
        <w:t xml:space="preserve">to “sing psalms and hymns and spiritual songs among yourselves, singing and making melody in your hearts </w:t>
      </w:r>
      <w:r w:rsidR="001331E1" w:rsidRPr="001331E1">
        <w:rPr>
          <w:i/>
          <w:iCs/>
        </w:rPr>
        <w:t>to the Lord</w:t>
      </w:r>
      <w:r w:rsidR="001331E1">
        <w:t>”</w:t>
      </w:r>
      <w:r w:rsidR="00894638">
        <w:t xml:space="preserve"> </w:t>
      </w:r>
      <w:r w:rsidR="00BC0BCE">
        <w:t xml:space="preserve">(Eph. 5:19; </w:t>
      </w:r>
      <w:r w:rsidR="001331E1">
        <w:t xml:space="preserve">cf. </w:t>
      </w:r>
      <w:r w:rsidR="00BC0BCE">
        <w:t>1 Cor. 14:26</w:t>
      </w:r>
      <w:r w:rsidR="00195219">
        <w:t>; Acts 16:25; James 5:13</w:t>
      </w:r>
      <w:r w:rsidR="00BC0BCE">
        <w:t xml:space="preserve">). </w:t>
      </w:r>
      <w:r w:rsidR="002E21CB">
        <w:t xml:space="preserve">The author of Revelation provides further evidence for the early Christian practice of composing hymns to Christ </w:t>
      </w:r>
      <w:r w:rsidR="002E21CB" w:rsidRPr="002E21CB">
        <w:rPr>
          <w:i/>
          <w:iCs/>
        </w:rPr>
        <w:t>as to a god</w:t>
      </w:r>
      <w:r w:rsidR="002E21CB">
        <w:t xml:space="preserve"> through its hymns to Christ that ascribe attributes of Christ which elsewhere belong to God alone (compare Rev. 5:8-14 with 4:8-11).</w:t>
      </w:r>
      <w:r w:rsidR="002E21CB">
        <w:rPr>
          <w:rStyle w:val="FootnoteReference"/>
        </w:rPr>
        <w:footnoteReference w:id="2"/>
      </w:r>
      <w:r w:rsidR="002E21CB">
        <w:t xml:space="preserve">  </w:t>
      </w:r>
      <w:r w:rsidR="00F00D59">
        <w:t>And i</w:t>
      </w:r>
      <w:r w:rsidR="001471BB">
        <w:t>n</w:t>
      </w:r>
      <w:r w:rsidR="00401DAC">
        <w:t xml:space="preserve"> Col.</w:t>
      </w:r>
      <w:r w:rsidR="00BC0BCE">
        <w:t xml:space="preserve"> 3:16 it appears </w:t>
      </w:r>
      <w:r w:rsidR="00BC0BCE">
        <w:lastRenderedPageBreak/>
        <w:t>t</w:t>
      </w:r>
      <w:r w:rsidR="009168A9">
        <w:t xml:space="preserve">hat </w:t>
      </w:r>
      <w:r w:rsidR="00B50CE3">
        <w:t>Paul intended for</w:t>
      </w:r>
      <w:r w:rsidR="001471BB">
        <w:t xml:space="preserve"> “</w:t>
      </w:r>
      <w:r w:rsidR="00B50CE3">
        <w:t xml:space="preserve">the </w:t>
      </w:r>
      <w:r w:rsidR="001471BB">
        <w:t>word of the Messiah” (</w:t>
      </w:r>
      <w:r w:rsidR="00006E01">
        <w:rPr>
          <w:rFonts w:ascii="Gentium Plus" w:hAnsi="Gentium Plus"/>
          <w:lang w:val="el-GR"/>
        </w:rPr>
        <w:t>ὁ</w:t>
      </w:r>
      <w:r w:rsidR="001471BB">
        <w:rPr>
          <w:rFonts w:ascii="Gentium Plus" w:hAnsi="Gentium Plus"/>
          <w:lang w:val="el-GR"/>
        </w:rPr>
        <w:t xml:space="preserve"> λόγος τοῦ Χριστοῦ</w:t>
      </w:r>
      <w:r w:rsidR="001471BB">
        <w:t xml:space="preserve">) </w:t>
      </w:r>
      <w:r w:rsidR="00B50CE3">
        <w:t>to inhabit</w:t>
      </w:r>
      <w:r w:rsidR="001471BB">
        <w:t xml:space="preserve"> the assembly through singing “psalms, hymns, and spiritual songs.”</w:t>
      </w:r>
      <w:r w:rsidR="008704A2">
        <w:t xml:space="preserve">  The implication is obvious as Adela Collins notes: “Paul clearly alludes to the practice of composing religious songs and presenting them in communal worship.”</w:t>
      </w:r>
      <w:r w:rsidR="008704A2">
        <w:rPr>
          <w:rStyle w:val="FootnoteReference"/>
        </w:rPr>
        <w:footnoteReference w:id="3"/>
      </w:r>
      <w:r w:rsidR="001471BB">
        <w:t xml:space="preserve"> That the early Christians engaged in </w:t>
      </w:r>
      <w:r w:rsidR="004A23F0">
        <w:t>writing</w:t>
      </w:r>
      <w:r w:rsidR="00894638">
        <w:t xml:space="preserve"> hymns</w:t>
      </w:r>
      <w:r w:rsidR="00B7084F">
        <w:t xml:space="preserve"> and singing</w:t>
      </w:r>
      <w:r w:rsidR="00121328">
        <w:t xml:space="preserve"> to Christ </w:t>
      </w:r>
      <w:r w:rsidR="002F11EC">
        <w:t>has been confi</w:t>
      </w:r>
      <w:r w:rsidR="003C34BC">
        <w:t>rmed by</w:t>
      </w:r>
      <w:r w:rsidR="00894638">
        <w:t xml:space="preserve"> </w:t>
      </w:r>
      <w:r w:rsidR="001471BB">
        <w:t xml:space="preserve">form-critical work that has </w:t>
      </w:r>
      <w:r>
        <w:t>discovered</w:t>
      </w:r>
      <w:r w:rsidR="001471BB">
        <w:t xml:space="preserve"> </w:t>
      </w:r>
      <w:r w:rsidR="00894638">
        <w:t>hymnic</w:t>
      </w:r>
      <w:r w:rsidR="00121328">
        <w:t xml:space="preserve"> </w:t>
      </w:r>
      <w:r w:rsidR="00894638">
        <w:t xml:space="preserve">elements </w:t>
      </w:r>
      <w:r w:rsidR="003C34BC">
        <w:t>in</w:t>
      </w:r>
      <w:r w:rsidR="00894638">
        <w:t xml:space="preserve"> Ph</w:t>
      </w:r>
      <w:r w:rsidR="004A23F0">
        <w:t>il. 2:6</w:t>
      </w:r>
      <w:r w:rsidR="00401DAC">
        <w:t>-11; Col. 1:15-20; 1 Tim. 3:16; and Rev. 5:9-14.</w:t>
      </w:r>
      <w:r w:rsidR="00894638">
        <w:rPr>
          <w:rStyle w:val="FootnoteReference"/>
        </w:rPr>
        <w:footnoteReference w:id="4"/>
      </w:r>
      <w:r w:rsidR="004A23F0">
        <w:t xml:space="preserve"> </w:t>
      </w:r>
      <w:r w:rsidR="003C34BC">
        <w:t xml:space="preserve"> </w:t>
      </w:r>
      <w:r w:rsidR="004A23F0">
        <w:t>T</w:t>
      </w:r>
      <w:r w:rsidR="00BC49A6">
        <w:t xml:space="preserve">he NT </w:t>
      </w:r>
      <w:r w:rsidR="006B16E0">
        <w:t>evidence, thus,</w:t>
      </w:r>
      <w:r w:rsidR="004A23F0">
        <w:t xml:space="preserve"> </w:t>
      </w:r>
      <w:r w:rsidR="00B97D03">
        <w:t xml:space="preserve">fits nicely with </w:t>
      </w:r>
      <w:r w:rsidR="00BC49A6">
        <w:t xml:space="preserve">Pliny’s statement that the </w:t>
      </w:r>
      <w:r w:rsidR="00B97D03">
        <w:t>Christians sang hymns to Christ</w:t>
      </w:r>
      <w:r w:rsidR="00BC49A6">
        <w:t>.</w:t>
      </w:r>
      <w:r w:rsidR="00BC49A6">
        <w:rPr>
          <w:rStyle w:val="FootnoteReference"/>
        </w:rPr>
        <w:footnoteReference w:id="5"/>
      </w:r>
      <w:r w:rsidR="00B97D03">
        <w:t xml:space="preserve"> </w:t>
      </w:r>
    </w:p>
    <w:p w14:paraId="5420CBB9" w14:textId="5CF338BB" w:rsidR="00640892" w:rsidRDefault="00C433D4" w:rsidP="00DB2439">
      <w:pPr>
        <w:spacing w:line="480" w:lineRule="auto"/>
        <w:jc w:val="both"/>
      </w:pPr>
      <w:r>
        <w:tab/>
        <w:t>What has not been recognized, however, is that the early Christian practice of composing h</w:t>
      </w:r>
      <w:r w:rsidR="00401DAC">
        <w:t>ymns to Christ “as to a god”</w:t>
      </w:r>
      <w:r w:rsidR="00B7084F">
        <w:t>, that is</w:t>
      </w:r>
      <w:r>
        <w:t xml:space="preserve"> </w:t>
      </w:r>
      <w:r w:rsidR="00121328">
        <w:t>of</w:t>
      </w:r>
      <w:r>
        <w:t xml:space="preserve"> </w:t>
      </w:r>
      <w:r w:rsidR="009F7F5E">
        <w:t>taking</w:t>
      </w:r>
      <w:r>
        <w:t xml:space="preserve"> </w:t>
      </w:r>
      <w:r w:rsidR="00401DAC">
        <w:t xml:space="preserve">divine predicates </w:t>
      </w:r>
      <w:r>
        <w:t xml:space="preserve">and </w:t>
      </w:r>
      <w:r w:rsidR="009F7F5E">
        <w:t>ascribing them to</w:t>
      </w:r>
      <w:r>
        <w:t xml:space="preserve"> Christ, conforms </w:t>
      </w:r>
      <w:r w:rsidR="00401DAC">
        <w:t>nicely</w:t>
      </w:r>
      <w:r>
        <w:t xml:space="preserve"> with how ancient Greeks, Romans, and</w:t>
      </w:r>
      <w:r w:rsidR="00545664">
        <w:t xml:space="preserve"> Jews treated their own rulers. K</w:t>
      </w:r>
      <w:r w:rsidR="00121328">
        <w:t>ings</w:t>
      </w:r>
      <w:r w:rsidR="00401DAC">
        <w:t xml:space="preserve"> </w:t>
      </w:r>
      <w:r w:rsidR="00DB2439">
        <w:t>were often assimilated to, even identified</w:t>
      </w:r>
      <w:r w:rsidR="00121328">
        <w:t xml:space="preserve"> with</w:t>
      </w:r>
      <w:r w:rsidR="00DB2439">
        <w:t xml:space="preserve"> gods and thereby treated</w:t>
      </w:r>
      <w:r w:rsidR="009168A9">
        <w:t xml:space="preserve"> as worthy of divine praises</w:t>
      </w:r>
      <w:r w:rsidR="00DB2439">
        <w:t xml:space="preserve">. </w:t>
      </w:r>
      <w:r w:rsidR="00401DAC">
        <w:t xml:space="preserve"> </w:t>
      </w:r>
      <w:r w:rsidR="004A23F0">
        <w:t>Most s</w:t>
      </w:r>
      <w:r w:rsidR="00DB2439">
        <w:t xml:space="preserve">cholars have </w:t>
      </w:r>
      <w:r w:rsidR="00401DAC">
        <w:t>failed to see</w:t>
      </w:r>
      <w:r w:rsidR="00DB2439">
        <w:t xml:space="preserve"> </w:t>
      </w:r>
      <w:r w:rsidR="00401DAC">
        <w:t xml:space="preserve">the </w:t>
      </w:r>
      <w:r w:rsidR="00DB2439">
        <w:t>potential of ancient kingship id</w:t>
      </w:r>
      <w:r w:rsidR="00401DAC">
        <w:t>eology to illumine</w:t>
      </w:r>
      <w:r w:rsidR="00BB4C2C">
        <w:t xml:space="preserve"> Col.</w:t>
      </w:r>
      <w:r w:rsidR="00DB2439">
        <w:t xml:space="preserve"> 1:15-20</w:t>
      </w:r>
      <w:r w:rsidR="001331E1">
        <w:t>,</w:t>
      </w:r>
      <w:r w:rsidR="00121328">
        <w:t xml:space="preserve"> and have instead</w:t>
      </w:r>
      <w:r w:rsidR="00DB2439">
        <w:t xml:space="preserve"> </w:t>
      </w:r>
      <w:r w:rsidR="00BB4C2C">
        <w:t>insisted</w:t>
      </w:r>
      <w:r w:rsidR="00DB2439">
        <w:t xml:space="preserve"> that </w:t>
      </w:r>
      <w:r w:rsidR="00F930CF">
        <w:t>Hellenistic-</w:t>
      </w:r>
      <w:r w:rsidR="00640892">
        <w:t>Jewish speculation upon personi</w:t>
      </w:r>
      <w:r w:rsidR="00401DAC">
        <w:t xml:space="preserve">fied Wisdom </w:t>
      </w:r>
      <w:r w:rsidR="0051503D">
        <w:t>or Middle Platonic</w:t>
      </w:r>
      <w:r w:rsidR="00CD2F4A">
        <w:t xml:space="preserve"> speculation upon the </w:t>
      </w:r>
      <w:r w:rsidR="00CD2F4A" w:rsidRPr="00CD2F4A">
        <w:rPr>
          <w:i/>
          <w:iCs/>
        </w:rPr>
        <w:t>Logos</w:t>
      </w:r>
      <w:r w:rsidR="00DB2439">
        <w:t xml:space="preserve"> provides the context for understanding </w:t>
      </w:r>
      <w:r w:rsidR="00640892">
        <w:t xml:space="preserve">the </w:t>
      </w:r>
      <w:r w:rsidR="009168A9">
        <w:t>lofty</w:t>
      </w:r>
      <w:r w:rsidR="00DB2439">
        <w:t xml:space="preserve"> claims made in Col. 1:15-20</w:t>
      </w:r>
      <w:r w:rsidR="00640892">
        <w:t>.</w:t>
      </w:r>
      <w:r w:rsidR="00640892">
        <w:rPr>
          <w:rStyle w:val="FootnoteReference"/>
        </w:rPr>
        <w:footnoteReference w:id="6"/>
      </w:r>
      <w:r w:rsidR="00640892">
        <w:t xml:space="preserve">  Th</w:t>
      </w:r>
      <w:r w:rsidR="00401DAC">
        <w:t xml:space="preserve">is is </w:t>
      </w:r>
      <w:r w:rsidR="00640892">
        <w:t>surprising</w:t>
      </w:r>
      <w:r w:rsidR="000A2BA8">
        <w:t xml:space="preserve"> for three reasons: a) </w:t>
      </w:r>
      <w:r w:rsidR="00640892">
        <w:t>the referent of the hymn</w:t>
      </w:r>
      <w:r w:rsidR="000B7076">
        <w:t xml:space="preserve"> </w:t>
      </w:r>
      <w:r w:rsidR="000B7076" w:rsidRPr="000B7076">
        <w:rPr>
          <w:i/>
          <w:iCs/>
        </w:rPr>
        <w:t>within its literary context</w:t>
      </w:r>
      <w:r w:rsidR="00640892">
        <w:t xml:space="preserve"> is</w:t>
      </w:r>
      <w:r w:rsidR="00121328">
        <w:t xml:space="preserve"> not Wisdom but</w:t>
      </w:r>
      <w:r w:rsidR="004A23F0">
        <w:t xml:space="preserve"> God’s “beloved son”</w:t>
      </w:r>
      <w:r w:rsidR="00A43534">
        <w:t xml:space="preserve"> (an honorific that surely resonates with the institution of Israelite kingship, </w:t>
      </w:r>
      <w:r w:rsidR="000B7076">
        <w:t>1:13</w:t>
      </w:r>
      <w:r w:rsidR="00453DD4">
        <w:t>)</w:t>
      </w:r>
      <w:r w:rsidR="000A2BA8">
        <w:t>,</w:t>
      </w:r>
      <w:r w:rsidR="000A2BA8">
        <w:rPr>
          <w:rStyle w:val="FootnoteReference"/>
        </w:rPr>
        <w:footnoteReference w:id="7"/>
      </w:r>
      <w:r w:rsidR="000A2BA8">
        <w:t xml:space="preserve"> b)</w:t>
      </w:r>
      <w:r w:rsidR="006248E4">
        <w:t xml:space="preserve"> </w:t>
      </w:r>
      <w:r w:rsidR="00640892">
        <w:t>numerous elements of the hymn</w:t>
      </w:r>
      <w:r w:rsidR="006248E4">
        <w:t xml:space="preserve"> have no </w:t>
      </w:r>
      <w:r w:rsidR="00A43534">
        <w:t xml:space="preserve">linguistic </w:t>
      </w:r>
      <w:r w:rsidR="00A43534" w:rsidRPr="00A43534">
        <w:rPr>
          <w:i/>
          <w:iCs/>
        </w:rPr>
        <w:t>or</w:t>
      </w:r>
      <w:r w:rsidR="00A43534">
        <w:t xml:space="preserve"> conceptual </w:t>
      </w:r>
      <w:r w:rsidR="006248E4">
        <w:t xml:space="preserve">parallel with </w:t>
      </w:r>
      <w:r w:rsidR="00B97D03">
        <w:t>descriptions of</w:t>
      </w:r>
      <w:r w:rsidR="00401DAC">
        <w:t xml:space="preserve"> personified Wisdom</w:t>
      </w:r>
      <w:r w:rsidR="006248E4">
        <w:t xml:space="preserve"> or a Logos intermediary, and c) the six occurrences in Colossians where Paul does refer to </w:t>
      </w:r>
      <w:r w:rsidR="006248E4">
        <w:rPr>
          <w:rFonts w:ascii="Gentium Plus" w:hAnsi="Gentium Plus"/>
          <w:lang w:val="el-GR"/>
        </w:rPr>
        <w:t>σοφία</w:t>
      </w:r>
      <w:r w:rsidR="006248E4">
        <w:rPr>
          <w:rFonts w:ascii="Gentium Plus" w:hAnsi="Gentium Plus"/>
        </w:rPr>
        <w:t xml:space="preserve"> (</w:t>
      </w:r>
      <w:r w:rsidR="006248E4">
        <w:rPr>
          <w:rFonts w:ascii="Cambria" w:hAnsi="Cambria"/>
        </w:rPr>
        <w:t>1:9, 28; 2:3, 23; 3:16; 4:5</w:t>
      </w:r>
      <w:r w:rsidR="006248E4">
        <w:rPr>
          <w:rFonts w:ascii="Gentium Plus" w:hAnsi="Gentium Plus"/>
        </w:rPr>
        <w:t xml:space="preserve">) </w:t>
      </w:r>
      <w:r w:rsidR="006248E4">
        <w:rPr>
          <w:rFonts w:ascii="Cambria" w:hAnsi="Cambria"/>
        </w:rPr>
        <w:t>are non-descript character attributes associated with moral formation and have nothing to do with personified Wisdom</w:t>
      </w:r>
      <w:r w:rsidR="00640892">
        <w:t>.</w:t>
      </w:r>
      <w:r w:rsidR="00640892">
        <w:rPr>
          <w:rStyle w:val="FootnoteReference"/>
        </w:rPr>
        <w:footnoteReference w:id="8"/>
      </w:r>
      <w:r w:rsidR="003F56A9">
        <w:t xml:space="preserve"> </w:t>
      </w:r>
      <w:r w:rsidR="00A43534">
        <w:t xml:space="preserve"> Further, whereas</w:t>
      </w:r>
      <w:r w:rsidR="000B7076">
        <w:t xml:space="preserve"> Middle-Platonic speculation upon interme</w:t>
      </w:r>
      <w:r w:rsidR="001671F0">
        <w:t>diary figures</w:t>
      </w:r>
      <w:r w:rsidR="00A43534">
        <w:t xml:space="preserve"> can </w:t>
      </w:r>
      <w:r w:rsidR="000B7076">
        <w:t xml:space="preserve">provide a strong </w:t>
      </w:r>
      <w:r w:rsidR="00A43534">
        <w:t xml:space="preserve">(though, I think, unconvincing) </w:t>
      </w:r>
      <w:r w:rsidR="000B7076">
        <w:t>reading of Paul’s cosmologic</w:t>
      </w:r>
      <w:r w:rsidR="00A43534">
        <w:t xml:space="preserve">al claims </w:t>
      </w:r>
      <w:r w:rsidR="000B7076">
        <w:t xml:space="preserve">in 1:15-16, it cannot account for some </w:t>
      </w:r>
      <w:r w:rsidR="00A43534">
        <w:t>any of the</w:t>
      </w:r>
      <w:r w:rsidR="00F23817">
        <w:t xml:space="preserve"> aspects of the hymn </w:t>
      </w:r>
      <w:r w:rsidR="00A43534">
        <w:t>spoken of in 1:18c-20</w:t>
      </w:r>
      <w:r w:rsidR="00F23817">
        <w:t>.</w:t>
      </w:r>
    </w:p>
    <w:p w14:paraId="44416DCF" w14:textId="63499D40" w:rsidR="00DA5A2E" w:rsidRPr="00973FFF" w:rsidRDefault="009168A9" w:rsidP="003F56A9">
      <w:pPr>
        <w:spacing w:line="480" w:lineRule="auto"/>
        <w:jc w:val="both"/>
        <w:rPr>
          <w:bCs/>
        </w:rPr>
      </w:pPr>
      <w:r>
        <w:tab/>
        <w:t>R</w:t>
      </w:r>
      <w:r w:rsidR="00401DAC">
        <w:t xml:space="preserve">ather than </w:t>
      </w:r>
      <w:r w:rsidR="00F1122C">
        <w:t>offer</w:t>
      </w:r>
      <w:r w:rsidR="00401DAC">
        <w:t xml:space="preserve"> a</w:t>
      </w:r>
      <w:r w:rsidR="00A43534">
        <w:t xml:space="preserve"> full-fledged</w:t>
      </w:r>
      <w:r>
        <w:t xml:space="preserve"> </w:t>
      </w:r>
      <w:r w:rsidR="00F1122C">
        <w:t>critique</w:t>
      </w:r>
      <w:r w:rsidR="00401DAC" w:rsidRPr="00401DAC">
        <w:t xml:space="preserve"> </w:t>
      </w:r>
      <w:r w:rsidR="00401DAC">
        <w:t xml:space="preserve">of </w:t>
      </w:r>
      <w:r w:rsidR="00453DD4">
        <w:t xml:space="preserve">the </w:t>
      </w:r>
      <w:r w:rsidR="00401DAC">
        <w:t>prevailing scholarly paradigm</w:t>
      </w:r>
      <w:r w:rsidR="001331E1">
        <w:t>,</w:t>
      </w:r>
      <w:r w:rsidR="003F56A9">
        <w:t xml:space="preserve"> I would like to </w:t>
      </w:r>
      <w:r w:rsidR="009F7F5E">
        <w:t>show</w:t>
      </w:r>
      <w:r w:rsidR="00A43534">
        <w:t>,</w:t>
      </w:r>
      <w:r w:rsidR="003F56A9">
        <w:t xml:space="preserve"> instead</w:t>
      </w:r>
      <w:r w:rsidR="00A43534">
        <w:t>,</w:t>
      </w:r>
      <w:r w:rsidR="003F56A9">
        <w:t xml:space="preserve"> that the</w:t>
      </w:r>
      <w:r w:rsidR="003F56A9" w:rsidRPr="003F56A9">
        <w:rPr>
          <w:rFonts w:eastAsia="Times New Roman" w:cs="Times New Roman"/>
        </w:rPr>
        <w:t xml:space="preserve"> </w:t>
      </w:r>
      <w:r w:rsidR="003F56A9">
        <w:rPr>
          <w:rFonts w:eastAsia="Times New Roman" w:cs="Times New Roman"/>
        </w:rPr>
        <w:t>conceptual and linguistic resources for understanding the Christ-hy</w:t>
      </w:r>
      <w:r w:rsidR="00B97D03">
        <w:rPr>
          <w:rFonts w:eastAsia="Times New Roman" w:cs="Times New Roman"/>
        </w:rPr>
        <w:t>mn of Colossians 1:15-20 can be</w:t>
      </w:r>
      <w:r w:rsidR="003F56A9">
        <w:rPr>
          <w:rFonts w:eastAsia="Times New Roman" w:cs="Times New Roman"/>
        </w:rPr>
        <w:t xml:space="preserve"> found in the widespread ancient practice of praise of kings, emperors, and rulers.</w:t>
      </w:r>
      <w:r w:rsidR="003F56A9" w:rsidRPr="003F56A9">
        <w:rPr>
          <w:rFonts w:eastAsia="Times New Roman" w:cs="Times New Roman"/>
        </w:rPr>
        <w:t xml:space="preserve"> </w:t>
      </w:r>
      <w:r w:rsidR="00401DAC">
        <w:rPr>
          <w:rFonts w:eastAsia="Times New Roman" w:cs="Times New Roman"/>
        </w:rPr>
        <w:t xml:space="preserve"> </w:t>
      </w:r>
      <w:r>
        <w:rPr>
          <w:rFonts w:eastAsia="Times New Roman" w:cs="Times New Roman"/>
        </w:rPr>
        <w:t xml:space="preserve">Ancient kings </w:t>
      </w:r>
      <w:r w:rsidR="003F56A9">
        <w:rPr>
          <w:rFonts w:eastAsia="Times New Roman" w:cs="Times New Roman"/>
        </w:rPr>
        <w:t>were often assimilated to particular gods and thereby received honors</w:t>
      </w:r>
      <w:r>
        <w:rPr>
          <w:rFonts w:eastAsia="Times New Roman" w:cs="Times New Roman"/>
        </w:rPr>
        <w:t>, including hymnic praise, reserved for deities.</w:t>
      </w:r>
      <w:r w:rsidR="00401DAC">
        <w:rPr>
          <w:rFonts w:eastAsia="Times New Roman" w:cs="Times New Roman"/>
        </w:rPr>
        <w:t xml:space="preserve"> </w:t>
      </w:r>
      <w:r w:rsidR="00BA4D6E">
        <w:rPr>
          <w:rFonts w:eastAsia="Times New Roman" w:cs="Times New Roman"/>
        </w:rPr>
        <w:t xml:space="preserve"> </w:t>
      </w:r>
      <w:r w:rsidR="003F56A9">
        <w:rPr>
          <w:rFonts w:eastAsia="Times New Roman" w:cs="Times New Roman"/>
        </w:rPr>
        <w:t xml:space="preserve">Similarly, </w:t>
      </w:r>
      <w:r w:rsidR="00A43534">
        <w:rPr>
          <w:rFonts w:eastAsia="Times New Roman" w:cs="Times New Roman"/>
        </w:rPr>
        <w:t>at least some</w:t>
      </w:r>
      <w:r w:rsidR="003F56A9">
        <w:rPr>
          <w:rFonts w:eastAsia="Times New Roman" w:cs="Times New Roman"/>
        </w:rPr>
        <w:t xml:space="preserve"> Jews praised past kings and the hoped-for coming king through hymns – most notably in poetic seams in the Pentateuch and in the Psalms.</w:t>
      </w:r>
      <w:r w:rsidR="003F56A9" w:rsidRPr="00A5135D">
        <w:rPr>
          <w:bCs/>
        </w:rPr>
        <w:t xml:space="preserve"> </w:t>
      </w:r>
      <w:r w:rsidR="003F56A9">
        <w:rPr>
          <w:bCs/>
        </w:rPr>
        <w:t xml:space="preserve"> </w:t>
      </w:r>
      <w:r w:rsidR="003F56A9" w:rsidRPr="00E55486">
        <w:rPr>
          <w:bCs/>
        </w:rPr>
        <w:t xml:space="preserve">Within the hymnic praises to the kings, one </w:t>
      </w:r>
      <w:r>
        <w:rPr>
          <w:bCs/>
        </w:rPr>
        <w:t>often</w:t>
      </w:r>
      <w:r w:rsidR="003F56A9" w:rsidRPr="00E55486">
        <w:rPr>
          <w:bCs/>
        </w:rPr>
        <w:t xml:space="preserve"> finds the fo</w:t>
      </w:r>
      <w:r w:rsidR="003F56A9">
        <w:rPr>
          <w:bCs/>
        </w:rPr>
        <w:t>llowing three</w:t>
      </w:r>
      <w:r w:rsidR="00BB4C2C">
        <w:rPr>
          <w:bCs/>
        </w:rPr>
        <w:t xml:space="preserve"> </w:t>
      </w:r>
      <w:r w:rsidR="003F56A9">
        <w:rPr>
          <w:bCs/>
        </w:rPr>
        <w:t>reasons for praising</w:t>
      </w:r>
      <w:r w:rsidR="003F56A9" w:rsidRPr="00E55486">
        <w:rPr>
          <w:bCs/>
        </w:rPr>
        <w:t xml:space="preserve"> th</w:t>
      </w:r>
      <w:r w:rsidR="00031202">
        <w:rPr>
          <w:bCs/>
        </w:rPr>
        <w:t>e king: a) the king is the</w:t>
      </w:r>
      <w:r w:rsidR="00401DAC">
        <w:rPr>
          <w:bCs/>
        </w:rPr>
        <w:t xml:space="preserve"> </w:t>
      </w:r>
      <w:r w:rsidR="003F56A9" w:rsidRPr="00E55486">
        <w:rPr>
          <w:bCs/>
        </w:rPr>
        <w:t xml:space="preserve">vicegerent of a god; b) the king </w:t>
      </w:r>
      <w:r w:rsidR="00401DAC">
        <w:rPr>
          <w:bCs/>
        </w:rPr>
        <w:t xml:space="preserve">is God’s representative who </w:t>
      </w:r>
      <w:r w:rsidR="00031202">
        <w:rPr>
          <w:bCs/>
        </w:rPr>
        <w:t>rules over</w:t>
      </w:r>
      <w:r w:rsidR="003F56A9" w:rsidRPr="00E55486">
        <w:rPr>
          <w:bCs/>
        </w:rPr>
        <w:t xml:space="preserve"> and </w:t>
      </w:r>
      <w:r w:rsidR="00401DAC">
        <w:rPr>
          <w:bCs/>
        </w:rPr>
        <w:t>sustains the created universe</w:t>
      </w:r>
      <w:r w:rsidR="00031202">
        <w:rPr>
          <w:bCs/>
        </w:rPr>
        <w:t xml:space="preserve"> and/or empire</w:t>
      </w:r>
      <w:r w:rsidR="003F56A9" w:rsidRPr="00E55486">
        <w:rPr>
          <w:bCs/>
        </w:rPr>
        <w:t xml:space="preserve">; c) the king </w:t>
      </w:r>
      <w:r w:rsidR="003F56A9">
        <w:rPr>
          <w:bCs/>
        </w:rPr>
        <w:t xml:space="preserve">is a benefactor who </w:t>
      </w:r>
      <w:r w:rsidR="00115C53">
        <w:rPr>
          <w:bCs/>
        </w:rPr>
        <w:t>has</w:t>
      </w:r>
      <w:r w:rsidR="003F56A9" w:rsidRPr="00E55486">
        <w:rPr>
          <w:bCs/>
        </w:rPr>
        <w:t xml:space="preserve"> bestow</w:t>
      </w:r>
      <w:r w:rsidR="003F56A9">
        <w:rPr>
          <w:bCs/>
        </w:rPr>
        <w:t>ed</w:t>
      </w:r>
      <w:r w:rsidR="003F56A9" w:rsidRPr="00E55486">
        <w:rPr>
          <w:bCs/>
        </w:rPr>
        <w:t xml:space="preserve"> gift</w:t>
      </w:r>
      <w:r w:rsidR="003F56A9">
        <w:rPr>
          <w:bCs/>
        </w:rPr>
        <w:t>s</w:t>
      </w:r>
      <w:r w:rsidR="003F56A9" w:rsidRPr="00E55486">
        <w:rPr>
          <w:bCs/>
        </w:rPr>
        <w:t xml:space="preserve"> </w:t>
      </w:r>
      <w:r w:rsidR="00453DD4">
        <w:rPr>
          <w:bCs/>
        </w:rPr>
        <w:t xml:space="preserve">of peace </w:t>
      </w:r>
      <w:r w:rsidR="003F56A9" w:rsidRPr="00E55486">
        <w:rPr>
          <w:bCs/>
        </w:rPr>
        <w:t>upon his subjects.</w:t>
      </w:r>
      <w:r w:rsidR="00115C53">
        <w:rPr>
          <w:bCs/>
        </w:rPr>
        <w:t xml:space="preserve">  All three </w:t>
      </w:r>
      <w:r w:rsidR="003F56A9">
        <w:rPr>
          <w:bCs/>
        </w:rPr>
        <w:t>reasons</w:t>
      </w:r>
      <w:r w:rsidR="00115C53">
        <w:rPr>
          <w:bCs/>
        </w:rPr>
        <w:t xml:space="preserve"> for praise</w:t>
      </w:r>
      <w:r w:rsidR="003F56A9">
        <w:rPr>
          <w:bCs/>
        </w:rPr>
        <w:t xml:space="preserve"> are paralleled in the </w:t>
      </w:r>
      <w:r w:rsidR="00202027">
        <w:rPr>
          <w:bCs/>
        </w:rPr>
        <w:t>Colossian Christ-</w:t>
      </w:r>
      <w:r>
        <w:rPr>
          <w:bCs/>
        </w:rPr>
        <w:t>hymn</w:t>
      </w:r>
      <w:r w:rsidR="003F56A9">
        <w:rPr>
          <w:bCs/>
        </w:rPr>
        <w:t xml:space="preserve">. </w:t>
      </w:r>
      <w:r w:rsidR="00F1122C">
        <w:rPr>
          <w:bCs/>
        </w:rPr>
        <w:t xml:space="preserve"> </w:t>
      </w:r>
      <w:r w:rsidR="00B97D03">
        <w:rPr>
          <w:bCs/>
        </w:rPr>
        <w:t xml:space="preserve">Thus, </w:t>
      </w:r>
      <w:r w:rsidR="003F56A9">
        <w:t>Paul</w:t>
      </w:r>
      <w:r w:rsidR="00202027">
        <w:t xml:space="preserve">’s praise of the Messiah </w:t>
      </w:r>
      <w:r w:rsidR="00B97D03">
        <w:t>can be understood as</w:t>
      </w:r>
      <w:r w:rsidR="003F56A9">
        <w:t xml:space="preserve"> a </w:t>
      </w:r>
      <w:r w:rsidR="00115C53">
        <w:t>creative development of Jewish m</w:t>
      </w:r>
      <w:r w:rsidR="003F56A9">
        <w:t xml:space="preserve">essianism </w:t>
      </w:r>
      <w:r w:rsidR="003F56A9" w:rsidRPr="00F1122C">
        <w:rPr>
          <w:i/>
        </w:rPr>
        <w:t>and</w:t>
      </w:r>
      <w:r w:rsidR="003F56A9">
        <w:t xml:space="preserve"> Hellenistic-Roman </w:t>
      </w:r>
      <w:r w:rsidR="00B97D03">
        <w:t>kingship ideology</w:t>
      </w:r>
      <w:r w:rsidR="00BA4D6E">
        <w:t>. The royal hymn functions to</w:t>
      </w:r>
      <w:r w:rsidR="00B97D03">
        <w:t xml:space="preserve"> </w:t>
      </w:r>
      <w:r w:rsidR="003F56A9">
        <w:t xml:space="preserve">counter the </w:t>
      </w:r>
      <w:r w:rsidR="00115C53">
        <w:t>church’s</w:t>
      </w:r>
      <w:r w:rsidR="00441B27">
        <w:t xml:space="preserve"> preoccupation with </w:t>
      </w:r>
      <w:r w:rsidR="003F56A9">
        <w:t>o</w:t>
      </w:r>
      <w:r w:rsidR="00115C53">
        <w:t>ther powers as it enables</w:t>
      </w:r>
      <w:r w:rsidR="00401DAC">
        <w:t xml:space="preserve"> them</w:t>
      </w:r>
      <w:r w:rsidR="00115C53">
        <w:t xml:space="preserve"> </w:t>
      </w:r>
      <w:r w:rsidR="003124AF">
        <w:t>to</w:t>
      </w:r>
      <w:r w:rsidR="003F56A9">
        <w:t xml:space="preserve"> participate in the </w:t>
      </w:r>
      <w:r w:rsidR="00B97D03">
        <w:t xml:space="preserve">true </w:t>
      </w:r>
      <w:r w:rsidR="003F56A9">
        <w:t>king’s rule.</w:t>
      </w:r>
      <w:r w:rsidR="00A43534">
        <w:rPr>
          <w:bCs/>
        </w:rPr>
        <w:t xml:space="preserve"> </w:t>
      </w:r>
      <w:r w:rsidR="00973FFF">
        <w:t xml:space="preserve">Paul’s hymn to Christ the King </w:t>
      </w:r>
      <w:r w:rsidR="00BC0BCE">
        <w:t xml:space="preserve">draws the audience into joining their voices with </w:t>
      </w:r>
      <w:r w:rsidR="00973FFF">
        <w:t>Paul such that they bestow divine honors upon</w:t>
      </w:r>
      <w:r w:rsidR="00BC0BCE">
        <w:t xml:space="preserve"> the </w:t>
      </w:r>
      <w:r w:rsidR="00401DAC">
        <w:t>king</w:t>
      </w:r>
      <w:r w:rsidR="00BC0BCE">
        <w:t xml:space="preserve"> and are thereby </w:t>
      </w:r>
      <w:r w:rsidR="00973FFF">
        <w:t>socialized</w:t>
      </w:r>
      <w:r w:rsidR="00BC0BCE">
        <w:t xml:space="preserve"> into a symboli</w:t>
      </w:r>
      <w:r w:rsidR="00441B27">
        <w:t>c world where they share in the</w:t>
      </w:r>
      <w:r w:rsidR="00BC0BCE">
        <w:t xml:space="preserve"> reign of the King who is lord over every power and authority.</w:t>
      </w:r>
      <w:r w:rsidR="00DA5A2E">
        <w:t xml:space="preserve"> </w:t>
      </w:r>
    </w:p>
    <w:p w14:paraId="1D1E7D36" w14:textId="1E7C4CE8" w:rsidR="001471BB" w:rsidRDefault="00BC49A6" w:rsidP="001471BB">
      <w:pPr>
        <w:spacing w:line="480" w:lineRule="auto"/>
        <w:jc w:val="center"/>
        <w:rPr>
          <w:u w:val="single"/>
        </w:rPr>
      </w:pPr>
      <w:r>
        <w:rPr>
          <w:u w:val="single"/>
        </w:rPr>
        <w:t xml:space="preserve">I. </w:t>
      </w:r>
      <w:r w:rsidR="001471BB">
        <w:rPr>
          <w:u w:val="single"/>
        </w:rPr>
        <w:t xml:space="preserve">Hymns and </w:t>
      </w:r>
      <w:r w:rsidR="00DA5A2E">
        <w:rPr>
          <w:u w:val="single"/>
        </w:rPr>
        <w:t>Encomia</w:t>
      </w:r>
      <w:r w:rsidR="001471BB">
        <w:rPr>
          <w:u w:val="single"/>
        </w:rPr>
        <w:t xml:space="preserve"> to Rulers and Kings</w:t>
      </w:r>
    </w:p>
    <w:p w14:paraId="073A4724" w14:textId="6F691D49" w:rsidR="00115C53" w:rsidRPr="006C6E9A" w:rsidRDefault="00260097" w:rsidP="00115C53">
      <w:pPr>
        <w:spacing w:line="480" w:lineRule="auto"/>
        <w:jc w:val="center"/>
        <w:rPr>
          <w:i/>
          <w:u w:val="single"/>
        </w:rPr>
      </w:pPr>
      <w:r w:rsidRPr="006C6E9A">
        <w:rPr>
          <w:i/>
          <w:u w:val="single"/>
        </w:rPr>
        <w:t xml:space="preserve">a. </w:t>
      </w:r>
      <w:r w:rsidR="00115C53" w:rsidRPr="006C6E9A">
        <w:rPr>
          <w:i/>
          <w:u w:val="single"/>
        </w:rPr>
        <w:t>How to Praise Rulers – Orators and the Progymnasmata</w:t>
      </w:r>
    </w:p>
    <w:p w14:paraId="7B6DB9FE" w14:textId="6608629A" w:rsidR="009F7F5E" w:rsidRDefault="00821FB0" w:rsidP="00B35F00">
      <w:pPr>
        <w:spacing w:line="480" w:lineRule="auto"/>
        <w:jc w:val="both"/>
      </w:pPr>
      <w:r>
        <w:t>Gods and humans alike were frequently the recipients of honors and praises through the composition of what the rhetorical teachers of prose composition call encomia.</w:t>
      </w:r>
      <w:r w:rsidR="009F7F5E">
        <w:rPr>
          <w:rStyle w:val="FootnoteReference"/>
        </w:rPr>
        <w:footnoteReference w:id="9"/>
      </w:r>
      <w:r>
        <w:t xml:space="preserve">  Kings, rulers, and other heroes were given honors for their virtues, </w:t>
      </w:r>
      <w:r w:rsidR="00734660">
        <w:t>relation</w:t>
      </w:r>
      <w:r w:rsidR="00401DAC">
        <w:t xml:space="preserve"> to the gods, gifts and </w:t>
      </w:r>
      <w:r>
        <w:t>invention</w:t>
      </w:r>
      <w:r w:rsidR="009F7F5E">
        <w:t>s, and military victories</w:t>
      </w:r>
      <w:r w:rsidR="005235CD">
        <w:t>.</w:t>
      </w:r>
      <w:r w:rsidR="005235CD">
        <w:rPr>
          <w:rStyle w:val="FootnoteReference"/>
        </w:rPr>
        <w:footnoteReference w:id="10"/>
      </w:r>
      <w:r w:rsidR="005235CD">
        <w:t xml:space="preserve">  </w:t>
      </w:r>
      <w:r>
        <w:t>Aelius Theon states</w:t>
      </w:r>
      <w:r w:rsidR="007361D0">
        <w:t>,</w:t>
      </w:r>
      <w:r>
        <w:t xml:space="preserve"> “the praise of the gods [is called] a hymn” but “whether one praises the living or the dead or heroes or gods, </w:t>
      </w:r>
      <w:r w:rsidRPr="009F7F5E">
        <w:rPr>
          <w:i/>
        </w:rPr>
        <w:t>the method of speaking is one and the same</w:t>
      </w:r>
      <w:r>
        <w:t>.”</w:t>
      </w:r>
      <w:r>
        <w:rPr>
          <w:rStyle w:val="FootnoteReference"/>
        </w:rPr>
        <w:footnoteReference w:id="11"/>
      </w:r>
      <w:r w:rsidR="009F7F5E">
        <w:t xml:space="preserve"> </w:t>
      </w:r>
      <w:r w:rsidR="005235CD">
        <w:t xml:space="preserve"> </w:t>
      </w:r>
      <w:r w:rsidR="009168A9">
        <w:t xml:space="preserve">Aphthonius </w:t>
      </w:r>
      <w:r w:rsidR="007361D0">
        <w:t xml:space="preserve">says “encomion is language expressive of inherent excellences” and “differs from hymn … in that a hymn is a celebration of gods, an encomion of </w:t>
      </w:r>
      <w:r w:rsidR="00950846">
        <w:t>mortals</w:t>
      </w:r>
      <w:r w:rsidR="007361D0">
        <w:t>.”</w:t>
      </w:r>
      <w:r w:rsidR="007361D0">
        <w:rPr>
          <w:rStyle w:val="FootnoteReference"/>
        </w:rPr>
        <w:footnoteReference w:id="12"/>
      </w:r>
      <w:r w:rsidR="005235CD">
        <w:t xml:space="preserve"> </w:t>
      </w:r>
      <w:r w:rsidR="00321231">
        <w:t>The specific content of the panegyric varies depending upon who is praised, but “the greatest heading of the encomion,” according to Aphthonius, are “deeds.”</w:t>
      </w:r>
      <w:r w:rsidR="00321231">
        <w:rPr>
          <w:rStyle w:val="FootnoteReference"/>
        </w:rPr>
        <w:footnoteReference w:id="13"/>
      </w:r>
      <w:r w:rsidR="005235CD" w:rsidRPr="005235CD">
        <w:t xml:space="preserve"> </w:t>
      </w:r>
      <w:r w:rsidR="005235CD">
        <w:t xml:space="preserve">Likewise, Nicolaus the Sophist states: “Encomion is speaking well of some specified person or thing in a discursive way </w:t>
      </w:r>
      <w:r w:rsidR="005235CD" w:rsidRPr="005235CD">
        <w:rPr>
          <w:i/>
          <w:iCs/>
        </w:rPr>
        <w:t>on the basis of acknowledged merits</w:t>
      </w:r>
      <w:r w:rsidR="005235CD">
        <w:t>.”</w:t>
      </w:r>
      <w:r w:rsidR="005235CD">
        <w:rPr>
          <w:rStyle w:val="FootnoteReference"/>
        </w:rPr>
        <w:footnoteReference w:id="14"/>
      </w:r>
    </w:p>
    <w:p w14:paraId="35B64062" w14:textId="38960869" w:rsidR="00DA5A2E" w:rsidRDefault="009F7F5E" w:rsidP="009F7F5E">
      <w:pPr>
        <w:spacing w:line="480" w:lineRule="auto"/>
        <w:ind w:firstLine="720"/>
        <w:jc w:val="both"/>
      </w:pPr>
      <w:r>
        <w:t xml:space="preserve">In his </w:t>
      </w:r>
      <w:r>
        <w:rPr>
          <w:lang w:val="el-GR"/>
        </w:rPr>
        <w:t xml:space="preserve">ΠΕΡΙ ΕΠΙΔΕΙΚΤΙΚΩΝ, a handbook </w:t>
      </w:r>
      <w:r w:rsidR="00401DAC">
        <w:rPr>
          <w:lang w:val="el-GR"/>
        </w:rPr>
        <w:t>given</w:t>
      </w:r>
      <w:r>
        <w:rPr>
          <w:lang w:val="el-GR"/>
        </w:rPr>
        <w:t xml:space="preserve"> to all topics pertaining to epideictic orations,</w:t>
      </w:r>
      <w:r>
        <w:t xml:space="preserve"> Menander devotes a lengthy </w:t>
      </w:r>
      <w:r w:rsidR="00C11FB3">
        <w:t xml:space="preserve">section to </w:t>
      </w:r>
      <w:r>
        <w:t>a “kingly speech,” that is, “an encomium of the emperor” (</w:t>
      </w:r>
      <w:r>
        <w:rPr>
          <w:rFonts w:ascii="Gentium Plus" w:hAnsi="Gentium Plus"/>
          <w:lang w:val="el-GR"/>
        </w:rPr>
        <w:t>ὁ βασιλικὸς λόγος ἐγκώμιόν ἐστι βασιλέως</w:t>
      </w:r>
      <w:r>
        <w:rPr>
          <w:rFonts w:ascii="Cambria" w:hAnsi="Cambria"/>
          <w:lang w:val="el-GR"/>
        </w:rPr>
        <w:t>). The royal speech will amplify "the good things attached to the emperor (</w:t>
      </w:r>
      <w:r>
        <w:rPr>
          <w:rFonts w:ascii="Gentium Plus" w:hAnsi="Gentium Plus"/>
          <w:lang w:val="el-GR"/>
        </w:rPr>
        <w:t>ἀγαθῶν βασιλεῖ</w:t>
      </w:r>
      <w:r>
        <w:rPr>
          <w:rFonts w:ascii="Cambria" w:hAnsi="Cambria"/>
          <w:lang w:val="el-GR"/>
        </w:rPr>
        <w:t>)" (368.3</w:t>
      </w:r>
      <w:r>
        <w:t>).</w:t>
      </w:r>
      <w:r>
        <w:rPr>
          <w:rStyle w:val="FootnoteReference"/>
        </w:rPr>
        <w:footnoteReference w:id="15"/>
      </w:r>
      <w:r>
        <w:t xml:space="preserve">  Since </w:t>
      </w:r>
      <w:r w:rsidR="00C11FB3">
        <w:t>praise of</w:t>
      </w:r>
      <w:r>
        <w:t xml:space="preserve"> the</w:t>
      </w:r>
      <w:r w:rsidR="00C11FB3">
        <w:t xml:space="preserve"> gods and the emperor are </w:t>
      </w:r>
      <w:r>
        <w:t>the best things in life, orators “should honor and hymn (</w:t>
      </w:r>
      <w:r>
        <w:rPr>
          <w:rFonts w:ascii="Gentium Plus" w:hAnsi="Gentium Plus"/>
          <w:lang w:val="el-GR"/>
        </w:rPr>
        <w:t>ὑμνεῖν</w:t>
      </w:r>
      <w:r>
        <w:t>) to the best of our ability” (368.19-21).  Menander testifies to the similarity between hymning to the gods and to kings: “We thus propitiate the emperor with words (</w:t>
      </w:r>
      <w:r>
        <w:rPr>
          <w:rFonts w:ascii="Gentium Plus" w:hAnsi="Gentium Plus"/>
          <w:lang w:val="el-GR"/>
        </w:rPr>
        <w:t>βασιλέα λόγοις</w:t>
      </w:r>
      <w:r>
        <w:t xml:space="preserve">) as we do the divine power with hymns and praises” (369.5-7). </w:t>
      </w:r>
      <w:r w:rsidR="00401DAC">
        <w:t>T</w:t>
      </w:r>
      <w:r>
        <w:t>he longest section</w:t>
      </w:r>
      <w:r w:rsidR="00401DAC">
        <w:t xml:space="preserve"> of the encomium</w:t>
      </w:r>
      <w:r w:rsidR="00517930">
        <w:t xml:space="preserve"> should praise the king’s</w:t>
      </w:r>
      <w:r>
        <w:t xml:space="preserve"> accomplishment</w:t>
      </w:r>
      <w:r w:rsidR="004B764B">
        <w:t xml:space="preserve">s, </w:t>
      </w:r>
      <w:r w:rsidR="00401DAC">
        <w:t xml:space="preserve">divided into </w:t>
      </w:r>
      <w:r w:rsidR="00517930">
        <w:t>his acts</w:t>
      </w:r>
      <w:r>
        <w:t xml:space="preserve"> during </w:t>
      </w:r>
      <w:r w:rsidR="004B764B">
        <w:t xml:space="preserve">times of peace and </w:t>
      </w:r>
      <w:r>
        <w:t>war (372.1-374.33).</w:t>
      </w:r>
      <w:r w:rsidR="00401DAC">
        <w:t xml:space="preserve"> </w:t>
      </w:r>
      <w:r w:rsidR="00BA39CF">
        <w:t xml:space="preserve"> T</w:t>
      </w:r>
      <w:r>
        <w:t>he orator</w:t>
      </w:r>
      <w:r w:rsidR="004B764B">
        <w:t xml:space="preserve"> </w:t>
      </w:r>
      <w:r w:rsidR="00BA39CF">
        <w:t>should</w:t>
      </w:r>
      <w:r>
        <w:t xml:space="preserve"> conclude by thanking the gods </w:t>
      </w:r>
      <w:r w:rsidR="004B764B">
        <w:t xml:space="preserve">since the emperor </w:t>
      </w:r>
      <w:r>
        <w:t xml:space="preserve">upholds creation by insuring “rains in season, abundance from the sea, [and] unstinting harvests” (377.21-24).  In return for the </w:t>
      </w:r>
      <w:r w:rsidR="00401DAC">
        <w:t>king’s gifts</w:t>
      </w:r>
      <w:r>
        <w:t xml:space="preserve"> “cities, nations, races, and tribes, all of us, garland him, sing of him, write of him. Full of his images are the cities (</w:t>
      </w:r>
      <w:r>
        <w:rPr>
          <w:rFonts w:ascii="Gentium Plus" w:hAnsi="Gentium Plus"/>
          <w:lang w:val="el-GR"/>
        </w:rPr>
        <w:t>πλήρεις εἰκόνων αἱ πόλεις</w:t>
      </w:r>
      <w:r>
        <w:t>)….” (377.24-28).</w:t>
      </w:r>
    </w:p>
    <w:p w14:paraId="2BD0B92F" w14:textId="5C419FE6" w:rsidR="00B866F8" w:rsidRDefault="004B764B" w:rsidP="00821FB0">
      <w:pPr>
        <w:spacing w:line="480" w:lineRule="auto"/>
        <w:jc w:val="both"/>
      </w:pPr>
      <w:r>
        <w:tab/>
      </w:r>
      <w:r w:rsidR="009F7F5E">
        <w:t>Quinti</w:t>
      </w:r>
      <w:r w:rsidR="0065591C">
        <w:t>lian</w:t>
      </w:r>
      <w:r>
        <w:t xml:space="preserve"> also</w:t>
      </w:r>
      <w:r w:rsidR="0065591C">
        <w:t xml:space="preserve"> </w:t>
      </w:r>
      <w:r w:rsidR="00BA39CF">
        <w:t>suggests</w:t>
      </w:r>
      <w:r w:rsidR="00B866F8">
        <w:t xml:space="preserve"> that hymns can be composed for gods </w:t>
      </w:r>
      <w:r w:rsidR="00B866F8" w:rsidRPr="00B866F8">
        <w:rPr>
          <w:i/>
          <w:iCs/>
        </w:rPr>
        <w:t>and</w:t>
      </w:r>
      <w:r w:rsidR="005235CD">
        <w:t xml:space="preserve"> for men</w:t>
      </w:r>
      <w:r w:rsidR="0065591C">
        <w:t>:</w:t>
      </w:r>
    </w:p>
    <w:p w14:paraId="015D01CA" w14:textId="30BAAE95" w:rsidR="0065591C" w:rsidRDefault="001E65CC" w:rsidP="00B866F8">
      <w:pPr>
        <w:ind w:left="720" w:right="720"/>
        <w:jc w:val="both"/>
      </w:pPr>
      <w:r>
        <w:t>With gods…</w:t>
      </w:r>
      <w:r w:rsidR="00B866F8">
        <w:t>the first thing will be to show veneration of the majesty of their nature; next, to expound the power of each and discoveries of his which have benefitted humanity. ‘Power’ will be displayed: for example, in Jupiter the power of universal rule; in Mars, the power of war; and in Neptune, control of the sea.  Inventions will be shown too: the arts for Minerva, letters for Mercury, medicine for Apollo, crops for Ceres, wine for Bacchus. Next we must mention any exploits of theirs known to history</w:t>
      </w:r>
      <w:r w:rsidR="00D555D9">
        <w:t xml:space="preserve">. Even gods derive honor from parents – a son of Jupiter for example – and from age for example, those descended from Chaos, and also from their offspring, Apollo and Diana do credit to Latona. </w:t>
      </w:r>
      <w:r w:rsidR="00B866F8">
        <w:t>Some should be praised because they were born immortal, others because they earned immortality by virtue…” (3.7.7-9).</w:t>
      </w:r>
      <w:r w:rsidR="005235CD">
        <w:rPr>
          <w:rStyle w:val="FootnoteReference"/>
        </w:rPr>
        <w:footnoteReference w:id="16"/>
      </w:r>
    </w:p>
    <w:p w14:paraId="681A6152" w14:textId="77777777" w:rsidR="00B866F8" w:rsidRDefault="00B866F8" w:rsidP="00B866F8">
      <w:pPr>
        <w:ind w:right="720"/>
        <w:jc w:val="both"/>
      </w:pPr>
    </w:p>
    <w:p w14:paraId="571476CF" w14:textId="39640787" w:rsidR="00B866F8" w:rsidRDefault="00B866F8" w:rsidP="00B866F8">
      <w:pPr>
        <w:spacing w:line="480" w:lineRule="auto"/>
        <w:jc w:val="both"/>
      </w:pPr>
      <w:r>
        <w:t>The order of his topics,</w:t>
      </w:r>
      <w:r w:rsidR="00517930">
        <w:t xml:space="preserve"> which applies to both gods </w:t>
      </w:r>
      <w:r w:rsidR="00517930" w:rsidRPr="00517930">
        <w:rPr>
          <w:i/>
          <w:iCs/>
        </w:rPr>
        <w:t>and great men</w:t>
      </w:r>
      <w:r w:rsidR="00517930">
        <w:t>,</w:t>
      </w:r>
      <w:r>
        <w:t xml:space="preserve"> proceeds as follows: the</w:t>
      </w:r>
      <w:r w:rsidR="00517930">
        <w:t xml:space="preserve">ir majestic </w:t>
      </w:r>
      <w:r>
        <w:t>nature, bene</w:t>
      </w:r>
      <w:r w:rsidR="00BA39CF">
        <w:t>fits and gifts</w:t>
      </w:r>
      <w:r w:rsidR="00517930">
        <w:t xml:space="preserve">, rule </w:t>
      </w:r>
      <w:r>
        <w:t>over nature and humanity,</w:t>
      </w:r>
      <w:r w:rsidR="00D555D9">
        <w:t xml:space="preserve"> </w:t>
      </w:r>
      <w:r w:rsidR="00517930">
        <w:t xml:space="preserve">great </w:t>
      </w:r>
      <w:r w:rsidR="00D555D9">
        <w:t xml:space="preserve">deeds, honorable ancestors and descendants, and </w:t>
      </w:r>
      <w:r w:rsidR="00517930">
        <w:t xml:space="preserve">their </w:t>
      </w:r>
      <w:r w:rsidR="00D555D9">
        <w:t>immortal nature.</w:t>
      </w:r>
      <w:r w:rsidR="00D555D9">
        <w:rPr>
          <w:rStyle w:val="FootnoteReference"/>
        </w:rPr>
        <w:footnoteReference w:id="17"/>
      </w:r>
    </w:p>
    <w:p w14:paraId="006C8423" w14:textId="7EC02B36" w:rsidR="005235CD" w:rsidRDefault="005235CD" w:rsidP="00B866F8">
      <w:pPr>
        <w:spacing w:line="480" w:lineRule="auto"/>
        <w:jc w:val="both"/>
      </w:pPr>
      <w:r>
        <w:tab/>
        <w:t>From this discussion of the rhetorical techniq</w:t>
      </w:r>
      <w:r w:rsidR="009168A9">
        <w:t xml:space="preserve">ues used to compose praises </w:t>
      </w:r>
      <w:r>
        <w:t>to</w:t>
      </w:r>
      <w:r w:rsidR="006A34D3">
        <w:t xml:space="preserve"> great men</w:t>
      </w:r>
      <w:r>
        <w:t xml:space="preserve"> we can </w:t>
      </w:r>
      <w:r w:rsidR="006A34D3">
        <w:t xml:space="preserve">conclude that </w:t>
      </w:r>
      <w:r>
        <w:t>there was a considerable degree of overlap between composing hymns to god</w:t>
      </w:r>
      <w:r w:rsidR="00BC49A6">
        <w:t>s</w:t>
      </w:r>
      <w:r>
        <w:t xml:space="preserve"> and encomia to heroi</w:t>
      </w:r>
      <w:r w:rsidR="006A34D3">
        <w:t>c humans, and</w:t>
      </w:r>
      <w:r>
        <w:t xml:space="preserve"> though the content of praise varies based on the </w:t>
      </w:r>
      <w:r w:rsidR="00517930">
        <w:t>individual</w:t>
      </w:r>
      <w:r>
        <w:t xml:space="preserve">, </w:t>
      </w:r>
      <w:r w:rsidR="005E332C">
        <w:t xml:space="preserve">there is an </w:t>
      </w:r>
      <w:r>
        <w:t>emphasis upon the</w:t>
      </w:r>
      <w:r w:rsidR="00BC49A6">
        <w:t xml:space="preserve"> powerful</w:t>
      </w:r>
      <w:r>
        <w:t xml:space="preserve"> deeds of the </w:t>
      </w:r>
      <w:r w:rsidR="006A34D3">
        <w:t>hero</w:t>
      </w:r>
      <w:r w:rsidR="00401DAC">
        <w:t xml:space="preserve">, </w:t>
      </w:r>
      <w:r>
        <w:t>particularly upon those</w:t>
      </w:r>
      <w:r w:rsidR="009F7F5E">
        <w:t xml:space="preserve"> </w:t>
      </w:r>
      <w:r w:rsidR="00BA39CF">
        <w:t>benefactions</w:t>
      </w:r>
      <w:r w:rsidR="009F7F5E">
        <w:t xml:space="preserve"> that benefit humanity.</w:t>
      </w:r>
      <w:r w:rsidR="0010072A">
        <w:rPr>
          <w:rStyle w:val="FootnoteReference"/>
        </w:rPr>
        <w:footnoteReference w:id="18"/>
      </w:r>
    </w:p>
    <w:p w14:paraId="1DAB8565" w14:textId="2E9573BB" w:rsidR="00115C53" w:rsidRPr="006C6E9A" w:rsidRDefault="00260097" w:rsidP="00115C53">
      <w:pPr>
        <w:spacing w:line="480" w:lineRule="auto"/>
        <w:jc w:val="center"/>
        <w:rPr>
          <w:u w:val="single"/>
        </w:rPr>
      </w:pPr>
      <w:r w:rsidRPr="006C6E9A">
        <w:rPr>
          <w:i/>
          <w:u w:val="single"/>
        </w:rPr>
        <w:t xml:space="preserve">b. </w:t>
      </w:r>
      <w:r w:rsidR="00115C53" w:rsidRPr="006C6E9A">
        <w:rPr>
          <w:i/>
          <w:u w:val="single"/>
        </w:rPr>
        <w:t>Divine Honors in Response to Kingly Benefactions</w:t>
      </w:r>
    </w:p>
    <w:p w14:paraId="00183E31" w14:textId="3700F834" w:rsidR="00BC49A6" w:rsidRDefault="00401DAC" w:rsidP="004A23F0">
      <w:pPr>
        <w:spacing w:line="480" w:lineRule="auto"/>
        <w:jc w:val="both"/>
        <w:rPr>
          <w:iCs/>
        </w:rPr>
      </w:pPr>
      <w:r>
        <w:t xml:space="preserve">To understand </w:t>
      </w:r>
      <w:r w:rsidRPr="00401DAC">
        <w:rPr>
          <w:i/>
          <w:iCs/>
        </w:rPr>
        <w:t>why</w:t>
      </w:r>
      <w:r>
        <w:t xml:space="preserve"> kings are hymned to as if they were gods, i</w:t>
      </w:r>
      <w:r w:rsidR="00115C53">
        <w:t xml:space="preserve">t is </w:t>
      </w:r>
      <w:r>
        <w:t xml:space="preserve">necessary to </w:t>
      </w:r>
      <w:r w:rsidR="00202027">
        <w:t>examine</w:t>
      </w:r>
      <w:r>
        <w:t xml:space="preserve"> the reasons for which </w:t>
      </w:r>
      <w:r w:rsidR="00BC49A6">
        <w:t>kings begin to be</w:t>
      </w:r>
      <w:r w:rsidR="009168A9">
        <w:t xml:space="preserve"> </w:t>
      </w:r>
      <w:r w:rsidR="00BC49A6">
        <w:t>identified with gods under the auspices of the ruler-cult</w:t>
      </w:r>
      <w:r>
        <w:t xml:space="preserve"> in the Hellenistic and Roman age</w:t>
      </w:r>
      <w:r w:rsidR="00BC49A6">
        <w:t>.</w:t>
      </w:r>
      <w:r w:rsidR="000913EC">
        <w:rPr>
          <w:rStyle w:val="FootnoteReference"/>
        </w:rPr>
        <w:footnoteReference w:id="19"/>
      </w:r>
      <w:r w:rsidR="00BC49A6">
        <w:t xml:space="preserve">  Hellenistic kings</w:t>
      </w:r>
      <w:r>
        <w:t xml:space="preserve"> and later Roman emperors</w:t>
      </w:r>
      <w:r w:rsidR="00A91A2A">
        <w:t xml:space="preserve"> are seen</w:t>
      </w:r>
      <w:r w:rsidR="00BC49A6">
        <w:t xml:space="preserve"> as the vicegerent of the gods wh</w:t>
      </w:r>
      <w:r>
        <w:t xml:space="preserve">o have bestowed their power </w:t>
      </w:r>
      <w:r w:rsidR="00BC49A6">
        <w:t>upon the earthly king to act in their place.</w:t>
      </w:r>
      <w:r w:rsidR="00BC49A6">
        <w:rPr>
          <w:rStyle w:val="FootnoteReference"/>
        </w:rPr>
        <w:footnoteReference w:id="20"/>
      </w:r>
      <w:r w:rsidR="00BC49A6">
        <w:t xml:space="preserve"> </w:t>
      </w:r>
      <w:r w:rsidR="00CD1982">
        <w:t xml:space="preserve"> T</w:t>
      </w:r>
      <w:r w:rsidR="00A673AB">
        <w:t xml:space="preserve">he bestowal of </w:t>
      </w:r>
      <w:r w:rsidR="00BC49A6">
        <w:t>divine honors</w:t>
      </w:r>
      <w:r w:rsidR="00CD1982">
        <w:t xml:space="preserve"> upon kings and emperors</w:t>
      </w:r>
      <w:r w:rsidR="00BC49A6">
        <w:t xml:space="preserve"> function</w:t>
      </w:r>
      <w:r w:rsidR="00A673AB">
        <w:t>ed</w:t>
      </w:r>
      <w:r>
        <w:t xml:space="preserve"> as an</w:t>
      </w:r>
      <w:r w:rsidR="00BC49A6">
        <w:t xml:space="preserve"> appropriately grateful return for </w:t>
      </w:r>
      <w:r>
        <w:t>powerful</w:t>
      </w:r>
      <w:r w:rsidR="00BC49A6">
        <w:t xml:space="preserve"> benefactions.</w:t>
      </w:r>
      <w:r w:rsidR="00BC49A6">
        <w:rPr>
          <w:rStyle w:val="FootnoteReference"/>
        </w:rPr>
        <w:footnoteReference w:id="21"/>
      </w:r>
      <w:r w:rsidR="00CD1982">
        <w:t xml:space="preserve"> The relationship between powerful benefactions and divine honors is exemplified in the first lines of Augustus’ </w:t>
      </w:r>
      <w:r w:rsidR="00CD1982" w:rsidRPr="00BC49A6">
        <w:rPr>
          <w:i/>
          <w:iCs/>
        </w:rPr>
        <w:t>Res Gest</w:t>
      </w:r>
      <w:r w:rsidR="00CD1982">
        <w:rPr>
          <w:i/>
          <w:iCs/>
        </w:rPr>
        <w:t>ae</w:t>
      </w:r>
      <w:r w:rsidR="00CD1982">
        <w:rPr>
          <w:iCs/>
        </w:rPr>
        <w:t>:</w:t>
      </w:r>
      <w:r w:rsidR="00BC49A6">
        <w:rPr>
          <w:rStyle w:val="FootnoteReference"/>
        </w:rPr>
        <w:footnoteReference w:id="22"/>
      </w:r>
      <w:r w:rsidR="00BC49A6">
        <w:t xml:space="preserve"> </w:t>
      </w:r>
    </w:p>
    <w:p w14:paraId="77C7A1E1" w14:textId="1E831E0A" w:rsidR="00BC49A6" w:rsidRDefault="00BC49A6" w:rsidP="00BC49A6">
      <w:pPr>
        <w:ind w:left="720" w:right="720"/>
        <w:jc w:val="both"/>
        <w:rPr>
          <w:iCs/>
        </w:rPr>
      </w:pPr>
      <w:r>
        <w:rPr>
          <w:iCs/>
        </w:rPr>
        <w:t xml:space="preserve">Translated and inscribed below </w:t>
      </w:r>
      <w:r w:rsidRPr="00BC49A6">
        <w:rPr>
          <w:i/>
          <w:iCs/>
        </w:rPr>
        <w:t>are the achievements and gifts of the god Augustus</w:t>
      </w:r>
      <w:r>
        <w:rPr>
          <w:i/>
          <w:iCs/>
        </w:rPr>
        <w:t xml:space="preserve"> </w:t>
      </w:r>
      <w:r>
        <w:rPr>
          <w:iCs/>
        </w:rPr>
        <w:t>(</w:t>
      </w:r>
      <w:r>
        <w:rPr>
          <w:rFonts w:ascii="Gentium Plus" w:hAnsi="Gentium Plus"/>
          <w:iCs/>
          <w:lang w:val="el-GR"/>
        </w:rPr>
        <w:t>πράξεις τε καὶ δωρεαὶ Σεβαστοῦ θεοῦ</w:t>
      </w:r>
      <w:r>
        <w:rPr>
          <w:iCs/>
        </w:rPr>
        <w:t>) … When I was nineteen years old, I got ready on my own initiative and at my own expense the army by means of which I set the state free from the slavery (</w:t>
      </w:r>
      <w:r>
        <w:rPr>
          <w:rFonts w:ascii="Gentium Plus" w:hAnsi="Gentium Plus"/>
          <w:iCs/>
          <w:lang w:val="el-GR"/>
        </w:rPr>
        <w:t xml:space="preserve">δουλήας </w:t>
      </w:r>
      <w:r>
        <w:rPr>
          <w:rFonts w:ascii="Cambria" w:hAnsi="Cambria"/>
          <w:iCs/>
        </w:rPr>
        <w:t>[</w:t>
      </w:r>
      <w:r w:rsidRPr="00BC49A6">
        <w:rPr>
          <w:rFonts w:ascii="Cambria" w:hAnsi="Cambria"/>
          <w:iCs/>
          <w:lang w:val="el-GR"/>
        </w:rPr>
        <w:t>ἡλευ</w:t>
      </w:r>
      <w:r>
        <w:rPr>
          <w:rFonts w:ascii="Cambria" w:hAnsi="Cambria"/>
          <w:iCs/>
          <w:lang w:val="el-GR"/>
        </w:rPr>
        <w:t>]</w:t>
      </w:r>
      <w:r w:rsidRPr="00BC49A6">
        <w:rPr>
          <w:rFonts w:ascii="Cambria" w:hAnsi="Cambria"/>
          <w:iCs/>
          <w:lang w:val="el-GR"/>
        </w:rPr>
        <w:t>θέ</w:t>
      </w:r>
      <w:r>
        <w:rPr>
          <w:rFonts w:ascii="Cambria" w:hAnsi="Cambria"/>
          <w:iCs/>
          <w:lang w:val="el-GR"/>
        </w:rPr>
        <w:t>[</w:t>
      </w:r>
      <w:r w:rsidRPr="00BC49A6">
        <w:rPr>
          <w:rFonts w:ascii="Cambria" w:hAnsi="Cambria"/>
          <w:iCs/>
          <w:lang w:val="el-GR"/>
        </w:rPr>
        <w:t>ρωσα</w:t>
      </w:r>
      <w:r>
        <w:rPr>
          <w:iCs/>
        </w:rPr>
        <w:t xml:space="preserve">) imposed by the conspirators.  </w:t>
      </w:r>
      <w:r w:rsidRPr="00BA39CF">
        <w:rPr>
          <w:i/>
          <w:iCs/>
        </w:rPr>
        <w:t>On account of these things the senate passed decrees</w:t>
      </w:r>
      <w:r>
        <w:rPr>
          <w:iCs/>
        </w:rPr>
        <w:t xml:space="preserve"> </w:t>
      </w:r>
      <w:r w:rsidRPr="00BC49A6">
        <w:rPr>
          <w:i/>
          <w:iCs/>
        </w:rPr>
        <w:t>in praise of me</w:t>
      </w:r>
      <w:r>
        <w:rPr>
          <w:i/>
          <w:iCs/>
        </w:rPr>
        <w:t xml:space="preserve"> </w:t>
      </w:r>
      <w:r>
        <w:rPr>
          <w:rFonts w:ascii="Gentium Plus" w:hAnsi="Gentium Plus"/>
          <w:iCs/>
          <w:lang w:val="el-GR"/>
        </w:rPr>
        <w:t>(ἐπαινέσασά με</w:t>
      </w:r>
      <w:r>
        <w:rPr>
          <w:rFonts w:ascii="Cambria" w:hAnsi="Cambria"/>
          <w:iCs/>
        </w:rPr>
        <w:t>)</w:t>
      </w:r>
      <w:r>
        <w:rPr>
          <w:iCs/>
        </w:rPr>
        <w:t>.</w:t>
      </w:r>
      <w:r>
        <w:rPr>
          <w:rStyle w:val="FootnoteReference"/>
          <w:iCs/>
        </w:rPr>
        <w:footnoteReference w:id="23"/>
      </w:r>
    </w:p>
    <w:p w14:paraId="03D5AE42" w14:textId="77777777" w:rsidR="00BC49A6" w:rsidRDefault="00BC49A6" w:rsidP="00BC49A6">
      <w:pPr>
        <w:ind w:left="720" w:right="720"/>
        <w:jc w:val="both"/>
        <w:rPr>
          <w:iCs/>
        </w:rPr>
      </w:pPr>
    </w:p>
    <w:p w14:paraId="44EF58B7" w14:textId="63DCA3A4" w:rsidR="009F7F5E" w:rsidRDefault="00B35F00" w:rsidP="009F7F5E">
      <w:pPr>
        <w:spacing w:line="480" w:lineRule="auto"/>
        <w:ind w:firstLine="720"/>
        <w:jc w:val="both"/>
      </w:pPr>
      <w:r>
        <w:t xml:space="preserve">In his </w:t>
      </w:r>
      <w:r w:rsidRPr="00B35F00">
        <w:rPr>
          <w:i/>
          <w:iCs/>
        </w:rPr>
        <w:t>Embassy to Gaius</w:t>
      </w:r>
      <w:r>
        <w:t xml:space="preserve"> </w:t>
      </w:r>
      <w:r w:rsidR="00260097">
        <w:t>Philo notes that Augustus was aw</w:t>
      </w:r>
      <w:r w:rsidR="00BA39CF">
        <w:t xml:space="preserve">arded divine honors due to </w:t>
      </w:r>
      <w:r w:rsidR="00260097">
        <w:t>his benefaction to</w:t>
      </w:r>
      <w:r>
        <w:t xml:space="preserve"> Rome of ending the civil wars (149-151)</w:t>
      </w:r>
      <w:r w:rsidR="00260097">
        <w:t>.</w:t>
      </w:r>
      <w:r>
        <w:t xml:space="preserve"> Philo eulogizes Augustus through an encomium for his benefactions whereby </w:t>
      </w:r>
      <w:r w:rsidR="00BA39CF">
        <w:t>Augustus</w:t>
      </w:r>
      <w:r>
        <w:t xml:space="preserve"> became “the source of veneration” (</w:t>
      </w:r>
      <w:r>
        <w:rPr>
          <w:rFonts w:ascii="Gentium Plus" w:hAnsi="Gentium Plus"/>
          <w:lang w:val="el-GR"/>
        </w:rPr>
        <w:t>ἀρχὴ σεβασμοῦ</w:t>
      </w:r>
      <w:r>
        <w:t>, 143) and ruler of the cosmos (144-148).</w:t>
      </w:r>
      <w:r>
        <w:rPr>
          <w:rStyle w:val="FootnoteReference"/>
        </w:rPr>
        <w:footnoteReference w:id="24"/>
      </w:r>
      <w:r w:rsidR="00260097">
        <w:t xml:space="preserve"> </w:t>
      </w:r>
      <w:r>
        <w:t xml:space="preserve"> Through his excellent rule of the world, he is “the first and the greatest (</w:t>
      </w:r>
      <w:r>
        <w:rPr>
          <w:rFonts w:ascii="Gentium Plus" w:hAnsi="Gentium Plus"/>
          <w:lang w:val="el-GR"/>
        </w:rPr>
        <w:t>πρῶτος καὶ μέγιστος</w:t>
      </w:r>
      <w:r>
        <w:t>), the common benefactor of all” (149)</w:t>
      </w:r>
      <w:r w:rsidR="00F81C7D">
        <w:t>.</w:t>
      </w:r>
      <w:r>
        <w:t xml:space="preserve"> </w:t>
      </w:r>
      <w:r w:rsidR="00BC49A6">
        <w:t>There is, then, an explicit relationship between Augustus’</w:t>
      </w:r>
      <w:r w:rsidR="00401DAC">
        <w:t xml:space="preserve"> </w:t>
      </w:r>
      <w:r w:rsidR="00BC49A6">
        <w:t xml:space="preserve">benefactions and his </w:t>
      </w:r>
      <w:r w:rsidR="00401DAC">
        <w:t xml:space="preserve">divine </w:t>
      </w:r>
      <w:r w:rsidR="00BC49A6">
        <w:t>praiseworthy status.</w:t>
      </w:r>
      <w:r w:rsidR="00A673AB">
        <w:rPr>
          <w:rStyle w:val="FootnoteReference"/>
        </w:rPr>
        <w:footnoteReference w:id="25"/>
      </w:r>
      <w:r w:rsidR="00BC49A6">
        <w:t xml:space="preserve"> </w:t>
      </w:r>
      <w:r w:rsidR="00A673AB">
        <w:t xml:space="preserve"> </w:t>
      </w:r>
      <w:r w:rsidR="00401DAC">
        <w:t>Divinity</w:t>
      </w:r>
      <w:r w:rsidR="00BC49A6">
        <w:t xml:space="preserve"> is less a matter of essence and more a </w:t>
      </w:r>
      <w:r w:rsidR="00401DAC">
        <w:t xml:space="preserve">matter of a conferred status </w:t>
      </w:r>
      <w:r w:rsidR="00BC49A6">
        <w:t>that elicits honors as the resu</w:t>
      </w:r>
      <w:r w:rsidR="00401DAC">
        <w:t xml:space="preserve">lt of frequent, </w:t>
      </w:r>
      <w:r w:rsidR="00BC49A6">
        <w:t xml:space="preserve">powerful </w:t>
      </w:r>
      <w:r w:rsidR="00401DAC">
        <w:t>gifts</w:t>
      </w:r>
      <w:r w:rsidR="00BC49A6">
        <w:t>.</w:t>
      </w:r>
      <w:r w:rsidR="00BC49A6">
        <w:rPr>
          <w:rStyle w:val="FootnoteReference"/>
        </w:rPr>
        <w:footnoteReference w:id="26"/>
      </w:r>
      <w:r w:rsidR="00BA39CF">
        <w:t xml:space="preserve">  In other words, to paraphrase an ancient maxim – if</w:t>
      </w:r>
      <w:r w:rsidR="00BC49A6">
        <w:t xml:space="preserve"> gods are those who exercise power, then a king is</w:t>
      </w:r>
      <w:r w:rsidR="00401DAC">
        <w:t xml:space="preserve"> </w:t>
      </w:r>
      <w:r w:rsidR="00BC49A6">
        <w:t>god-like.</w:t>
      </w:r>
      <w:r w:rsidR="00BC49A6">
        <w:rPr>
          <w:rStyle w:val="FootnoteReference"/>
        </w:rPr>
        <w:footnoteReference w:id="27"/>
      </w:r>
      <w:r w:rsidR="00BC49A6" w:rsidRPr="00BC49A6">
        <w:t xml:space="preserve"> </w:t>
      </w:r>
      <w:r w:rsidR="00BC49A6">
        <w:t xml:space="preserve"> </w:t>
      </w:r>
      <w:r w:rsidR="009F7F5E">
        <w:t>If</w:t>
      </w:r>
      <w:r w:rsidR="00401DAC">
        <w:t xml:space="preserve"> kings </w:t>
      </w:r>
      <w:r w:rsidR="00BA39CF">
        <w:t>do</w:t>
      </w:r>
      <w:r w:rsidR="00BC49A6">
        <w:t xml:space="preserve"> what their subjects expect the gods to do, they are thereby worthy of divine honors.</w:t>
      </w:r>
      <w:r w:rsidR="00BC49A6">
        <w:rPr>
          <w:rStyle w:val="FootnoteReference"/>
        </w:rPr>
        <w:footnoteReference w:id="28"/>
      </w:r>
      <w:r w:rsidR="00BC49A6">
        <w:t xml:space="preserve">  In the words of Dio Cassius to Octa</w:t>
      </w:r>
      <w:r w:rsidR="009F7F5E">
        <w:t xml:space="preserve">vian: </w:t>
      </w:r>
    </w:p>
    <w:p w14:paraId="42DF2932" w14:textId="16CCA18C" w:rsidR="00CD1982" w:rsidRDefault="009F7F5E" w:rsidP="00CD1982">
      <w:pPr>
        <w:ind w:left="720" w:right="720"/>
        <w:jc w:val="both"/>
      </w:pPr>
      <w:r>
        <w:t>It is excellence that raises many men to the level of gods (</w:t>
      </w:r>
      <w:r>
        <w:rPr>
          <w:rFonts w:ascii="Gentium Plus" w:hAnsi="Gentium Plus"/>
          <w:lang w:val="el-GR"/>
        </w:rPr>
        <w:t>ἰσοθέους</w:t>
      </w:r>
      <w:r>
        <w:t xml:space="preserve">)…. </w:t>
      </w:r>
      <w:r w:rsidR="00BC49A6">
        <w:t>if you are good as a man and honorable as a ruler</w:t>
      </w:r>
      <w:r>
        <w:t xml:space="preserve"> (</w:t>
      </w:r>
      <w:r w:rsidR="00F23817">
        <w:rPr>
          <w:rFonts w:ascii="Gentium Plus" w:hAnsi="Gentium Plus"/>
          <w:lang w:val="el-GR"/>
        </w:rPr>
        <w:t>ἔ</w:t>
      </w:r>
      <w:r>
        <w:rPr>
          <w:rFonts w:ascii="Gentium Plus" w:hAnsi="Gentium Plus"/>
          <w:lang w:val="el-GR"/>
        </w:rPr>
        <w:t>στε σοὶ μὲν ἀγαθῷ τε ὄντι καὶ καλῶς ἄρχοντι</w:t>
      </w:r>
      <w:r>
        <w:t>)</w:t>
      </w:r>
      <w:r w:rsidR="00BC49A6">
        <w:t>, the whole earth will be your sacred precinct, all cities your temples, and all men your statues, since within their thoughts you will ever be enshrined and glorified (52.35.5).</w:t>
      </w:r>
      <w:r w:rsidR="00BC49A6">
        <w:rPr>
          <w:rStyle w:val="FootnoteReference"/>
        </w:rPr>
        <w:footnoteReference w:id="29"/>
      </w:r>
      <w:r w:rsidR="00BC49A6" w:rsidRPr="00BC49A6">
        <w:t xml:space="preserve"> </w:t>
      </w:r>
      <w:r w:rsidR="00BC49A6">
        <w:t xml:space="preserve"> </w:t>
      </w:r>
    </w:p>
    <w:p w14:paraId="4E25B63E" w14:textId="77777777" w:rsidR="00CD1982" w:rsidRDefault="00CD1982" w:rsidP="00CD1982">
      <w:pPr>
        <w:ind w:left="720" w:right="720"/>
        <w:jc w:val="both"/>
      </w:pPr>
    </w:p>
    <w:p w14:paraId="5C549F96" w14:textId="227EC4B7" w:rsidR="009F7F5E" w:rsidRDefault="00401DAC" w:rsidP="00CD1982">
      <w:pPr>
        <w:spacing w:line="480" w:lineRule="auto"/>
        <w:jc w:val="both"/>
      </w:pPr>
      <w:r>
        <w:t>Augustus’</w:t>
      </w:r>
      <w:r w:rsidR="009F7F5E">
        <w:t xml:space="preserve"> rule </w:t>
      </w:r>
      <w:r w:rsidR="00115C53">
        <w:t>is</w:t>
      </w:r>
      <w:r w:rsidR="009F7F5E">
        <w:t xml:space="preserve"> the result of “good works” (</w:t>
      </w:r>
      <w:r w:rsidR="009F7F5E">
        <w:rPr>
          <w:rFonts w:ascii="Gentium Plus" w:hAnsi="Gentium Plus"/>
          <w:lang w:val="el-GR"/>
        </w:rPr>
        <w:t>διὰ τῶν ἀγαθῶν ἔργῶν</w:t>
      </w:r>
      <w:r w:rsidR="009F7F5E">
        <w:t xml:space="preserve">) and </w:t>
      </w:r>
      <w:r w:rsidR="00115C53">
        <w:t>“</w:t>
      </w:r>
      <w:r w:rsidR="009F7F5E">
        <w:t>benefactions” (</w:t>
      </w:r>
      <w:r w:rsidR="009F7F5E">
        <w:rPr>
          <w:rFonts w:ascii="Gentium Plus" w:hAnsi="Gentium Plus"/>
          <w:lang w:val="el-GR"/>
        </w:rPr>
        <w:t>ἐξ εὐεργεσιῶν</w:t>
      </w:r>
      <w:r w:rsidR="009F7F5E">
        <w:t>, 52.35.3).</w:t>
      </w:r>
      <w:r>
        <w:t xml:space="preserve"> </w:t>
      </w:r>
      <w:r w:rsidR="00A673AB">
        <w:t>Nicolaus of Damascus</w:t>
      </w:r>
      <w:r>
        <w:t xml:space="preserve"> states</w:t>
      </w:r>
      <w:r w:rsidR="00A673AB">
        <w:t xml:space="preserve">: “Because humanity addresses him as </w:t>
      </w:r>
      <w:r>
        <w:t>[</w:t>
      </w:r>
      <w:r w:rsidR="00A673AB">
        <w:t xml:space="preserve">Sebastos], </w:t>
      </w:r>
      <w:r w:rsidR="00A673AB" w:rsidRPr="00A673AB">
        <w:rPr>
          <w:i/>
          <w:iCs/>
        </w:rPr>
        <w:t>in accordance with their estimation of his honor</w:t>
      </w:r>
      <w:r w:rsidR="00A673AB">
        <w:t>, they revere him with</w:t>
      </w:r>
      <w:r>
        <w:t xml:space="preserve"> temple and sacrifices</w:t>
      </w:r>
      <w:r w:rsidR="00A673AB">
        <w:t xml:space="preserve">…matching the greatness of his virtue </w:t>
      </w:r>
      <w:r w:rsidR="00A673AB" w:rsidRPr="00A673AB">
        <w:rPr>
          <w:i/>
          <w:iCs/>
        </w:rPr>
        <w:t>and repaying his benefactions towards them</w:t>
      </w:r>
      <w:r w:rsidR="00A673AB">
        <w:t>.”</w:t>
      </w:r>
      <w:r w:rsidR="00A673AB">
        <w:rPr>
          <w:rStyle w:val="FootnoteReference"/>
        </w:rPr>
        <w:footnoteReference w:id="30"/>
      </w:r>
      <w:r w:rsidR="00A673AB">
        <w:t xml:space="preserve"> </w:t>
      </w:r>
    </w:p>
    <w:p w14:paraId="059BAE3A" w14:textId="36858A4D" w:rsidR="00115C53" w:rsidRPr="006C6E9A" w:rsidRDefault="00260097" w:rsidP="00115C53">
      <w:pPr>
        <w:spacing w:line="480" w:lineRule="auto"/>
        <w:ind w:firstLine="720"/>
        <w:jc w:val="center"/>
        <w:rPr>
          <w:i/>
          <w:u w:val="single"/>
        </w:rPr>
      </w:pPr>
      <w:r w:rsidRPr="006C6E9A">
        <w:rPr>
          <w:i/>
          <w:u w:val="single"/>
        </w:rPr>
        <w:t xml:space="preserve">c. </w:t>
      </w:r>
      <w:r w:rsidR="00115C53" w:rsidRPr="006C6E9A">
        <w:rPr>
          <w:i/>
          <w:u w:val="single"/>
        </w:rPr>
        <w:t>Hymns to Rulers in the Hellenistic and Roman Age</w:t>
      </w:r>
    </w:p>
    <w:p w14:paraId="2A7757C2" w14:textId="2B45B590" w:rsidR="00A673AB" w:rsidRDefault="001404F0" w:rsidP="00401DAC">
      <w:pPr>
        <w:spacing w:line="480" w:lineRule="auto"/>
        <w:jc w:val="both"/>
      </w:pPr>
      <w:r>
        <w:t>I</w:t>
      </w:r>
      <w:r w:rsidR="00A673AB">
        <w:t xml:space="preserve">n addition to the temples, festivals, sacrifices, </w:t>
      </w:r>
      <w:r w:rsidR="00115C53">
        <w:t xml:space="preserve">libations, </w:t>
      </w:r>
      <w:r w:rsidR="00BA39CF">
        <w:t xml:space="preserve">honorary inscriptions, </w:t>
      </w:r>
      <w:r w:rsidR="00A673AB">
        <w:t>and prayers devoted to the king/emperor,</w:t>
      </w:r>
      <w:r w:rsidR="00A673AB">
        <w:rPr>
          <w:rStyle w:val="FootnoteReference"/>
        </w:rPr>
        <w:footnoteReference w:id="31"/>
      </w:r>
      <w:r w:rsidR="00A673AB">
        <w:t xml:space="preserve"> </w:t>
      </w:r>
      <w:r w:rsidR="00A673AB" w:rsidRPr="00BA39CF">
        <w:rPr>
          <w:iCs/>
        </w:rPr>
        <w:t>one of the consistent ways</w:t>
      </w:r>
      <w:r w:rsidR="00A673AB">
        <w:t xml:space="preserve"> that </w:t>
      </w:r>
      <w:r w:rsidR="00BC49A6">
        <w:t>kings receive</w:t>
      </w:r>
      <w:r w:rsidR="00A673AB">
        <w:t>d</w:t>
      </w:r>
      <w:r w:rsidR="00BC49A6">
        <w:t xml:space="preserve"> </w:t>
      </w:r>
      <w:r w:rsidR="00A673AB">
        <w:t>divine honors was through praises</w:t>
      </w:r>
      <w:r w:rsidR="00BC49A6">
        <w:t xml:space="preserve"> and hymns reserved for the gods.</w:t>
      </w:r>
      <w:r w:rsidR="00BC49A6">
        <w:rPr>
          <w:rStyle w:val="FootnoteReference"/>
        </w:rPr>
        <w:footnoteReference w:id="32"/>
      </w:r>
      <w:r w:rsidR="00A673AB">
        <w:t xml:space="preserve">  </w:t>
      </w:r>
      <w:r>
        <w:t xml:space="preserve">Throughout the following survey of hymns to rulers, the reader should pay attention to the relationship between divine honors for powerful benefactions, the assimilation of rulers to deities, </w:t>
      </w:r>
      <w:r w:rsidR="00F20462">
        <w:t>and the divine election of rulers.</w:t>
      </w:r>
    </w:p>
    <w:p w14:paraId="31D8BE3C" w14:textId="3D8D834F" w:rsidR="009F7F5E" w:rsidRDefault="005661CB" w:rsidP="00BC49A6">
      <w:pPr>
        <w:spacing w:line="480" w:lineRule="auto"/>
        <w:ind w:firstLine="720"/>
        <w:jc w:val="both"/>
      </w:pPr>
      <w:r>
        <w:t>Plutarch</w:t>
      </w:r>
      <w:r w:rsidR="009F7F5E">
        <w:t xml:space="preserve"> states that the Spartan general </w:t>
      </w:r>
      <w:r w:rsidR="001404F0">
        <w:t xml:space="preserve">Lysander was </w:t>
      </w:r>
      <w:r w:rsidR="009F7F5E">
        <w:t xml:space="preserve">“more powerful than any Greek before him” and for this reason “the first Greek…to whom the cities erected altars and made sacrifices </w:t>
      </w:r>
      <w:r w:rsidR="009F7F5E" w:rsidRPr="009F7F5E">
        <w:rPr>
          <w:i/>
          <w:iCs/>
        </w:rPr>
        <w:t>as to a god</w:t>
      </w:r>
      <w:r w:rsidR="009F7F5E">
        <w:rPr>
          <w:i/>
          <w:iCs/>
        </w:rPr>
        <w:t xml:space="preserve"> </w:t>
      </w:r>
      <w:r w:rsidR="009F7F5E">
        <w:rPr>
          <w:iCs/>
        </w:rPr>
        <w:t>(</w:t>
      </w:r>
      <w:r w:rsidR="009F7F5E">
        <w:rPr>
          <w:rFonts w:ascii="Gentium Plus" w:hAnsi="Gentium Plus"/>
          <w:iCs/>
          <w:lang w:val="el-GR"/>
        </w:rPr>
        <w:t>ὡς θεῷ</w:t>
      </w:r>
      <w:r w:rsidR="009F7F5E">
        <w:rPr>
          <w:iCs/>
        </w:rPr>
        <w:t>)</w:t>
      </w:r>
      <w:r w:rsidR="009F7F5E">
        <w:t>, the first also to whom songs of triumph were sung” (</w:t>
      </w:r>
      <w:r w:rsidR="009F7F5E">
        <w:rPr>
          <w:i/>
        </w:rPr>
        <w:t>Lys</w:t>
      </w:r>
      <w:r w:rsidR="009F7F5E">
        <w:t>. 18.2-3).  Within</w:t>
      </w:r>
      <w:r>
        <w:t xml:space="preserve"> his retinue at all times was Choerilus</w:t>
      </w:r>
      <w:r w:rsidR="009F7F5E">
        <w:t xml:space="preserve"> to “adorn his achievements with verse (</w:t>
      </w:r>
      <w:r w:rsidR="009F7F5E">
        <w:rPr>
          <w:rFonts w:ascii="Gentium Plus" w:hAnsi="Gentium Plus"/>
          <w:lang w:val="el-GR"/>
        </w:rPr>
        <w:t>ὡς κοσμήσαντα τὰς πράξεις διὰ ποιητικῆς</w:t>
      </w:r>
      <w:r w:rsidR="009F7F5E">
        <w:t>),” and Antilochus who “composed some verses in his honor” (</w:t>
      </w:r>
      <w:r w:rsidR="009F7F5E">
        <w:rPr>
          <w:i/>
        </w:rPr>
        <w:t>Lys</w:t>
      </w:r>
      <w:r w:rsidR="009F7F5E">
        <w:t>. 18.4).</w:t>
      </w:r>
      <w:r w:rsidR="009F7F5E">
        <w:rPr>
          <w:rStyle w:val="FootnoteReference"/>
        </w:rPr>
        <w:footnoteReference w:id="33"/>
      </w:r>
    </w:p>
    <w:p w14:paraId="5E15EC09" w14:textId="22AFB1AF" w:rsidR="001471BB" w:rsidRDefault="00A673AB" w:rsidP="00BC49A6">
      <w:pPr>
        <w:spacing w:line="480" w:lineRule="auto"/>
        <w:ind w:firstLine="720"/>
        <w:jc w:val="both"/>
      </w:pPr>
      <w:r>
        <w:t>The A</w:t>
      </w:r>
      <w:r w:rsidR="009F7F5E">
        <w:t>thenians are said to have greeted</w:t>
      </w:r>
      <w:r>
        <w:t xml:space="preserve"> Demetrius Poliorcetes by singing paeans to him, and when he enters their city the</w:t>
      </w:r>
      <w:r w:rsidR="00401DAC">
        <w:t>y</w:t>
      </w:r>
      <w:r>
        <w:t xml:space="preserve"> are reported to have “sang and dance</w:t>
      </w:r>
      <w:r w:rsidR="001404F0">
        <w:t>d</w:t>
      </w:r>
      <w:r>
        <w:t xml:space="preserve">, repeating the refrain that he was the only true god, while all the others were asleep, or making a journey, or non-existent; he, however, was sprung from Poseidon and Aphrodite, pre-eminent in beauty and embracing all in his benevolence” (Athenaeus, </w:t>
      </w:r>
      <w:r w:rsidRPr="00A673AB">
        <w:rPr>
          <w:i/>
          <w:iCs/>
        </w:rPr>
        <w:t>Deipnosophistae</w:t>
      </w:r>
      <w:r>
        <w:t xml:space="preserve"> 6.253c).</w:t>
      </w:r>
      <w:r>
        <w:rPr>
          <w:rStyle w:val="FootnoteReference"/>
        </w:rPr>
        <w:footnoteReference w:id="34"/>
      </w:r>
      <w:r w:rsidR="001404F0">
        <w:t xml:space="preserve"> </w:t>
      </w:r>
    </w:p>
    <w:p w14:paraId="22B065AC" w14:textId="6CC0B52B" w:rsidR="00A673AB" w:rsidRDefault="00A673AB" w:rsidP="00401DAC">
      <w:pPr>
        <w:spacing w:line="480" w:lineRule="auto"/>
        <w:ind w:firstLine="720"/>
        <w:jc w:val="both"/>
      </w:pPr>
      <w:r>
        <w:t>One find</w:t>
      </w:r>
      <w:r w:rsidR="001404F0">
        <w:t>s</w:t>
      </w:r>
      <w:r w:rsidR="00B35F00">
        <w:t xml:space="preserve"> two hymns penned for</w:t>
      </w:r>
      <w:r>
        <w:t xml:space="preserve"> Ptolemy II Philadelphus, one by Callimachus and another by Theocritus.</w:t>
      </w:r>
      <w:r>
        <w:rPr>
          <w:rStyle w:val="FootnoteReference"/>
        </w:rPr>
        <w:footnoteReference w:id="35"/>
      </w:r>
      <w:r w:rsidR="00401DAC">
        <w:t xml:space="preserve">  </w:t>
      </w:r>
      <w:r>
        <w:t xml:space="preserve">Callimachus’ praise of Ptolemy is situated within his </w:t>
      </w:r>
      <w:r w:rsidRPr="00A673AB">
        <w:rPr>
          <w:i/>
          <w:iCs/>
        </w:rPr>
        <w:t>Hymn to Zeus</w:t>
      </w:r>
      <w:r w:rsidR="001404F0">
        <w:t xml:space="preserve"> and is in fact centered upon the great god</w:t>
      </w:r>
      <w:r>
        <w:t>.</w:t>
      </w:r>
      <w:r w:rsidR="009F7F5E">
        <w:rPr>
          <w:rStyle w:val="FootnoteReference"/>
        </w:rPr>
        <w:footnoteReference w:id="36"/>
      </w:r>
      <w:r w:rsidR="008E4F40">
        <w:t xml:space="preserve">  </w:t>
      </w:r>
      <w:r w:rsidR="00F36CCB">
        <w:t>The poet</w:t>
      </w:r>
      <w:r w:rsidR="008E4F40">
        <w:t xml:space="preserve"> praises</w:t>
      </w:r>
      <w:r>
        <w:t xml:space="preserve"> Zeus for </w:t>
      </w:r>
      <w:r w:rsidR="009F7F5E">
        <w:t xml:space="preserve">his wise </w:t>
      </w:r>
      <w:r w:rsidR="00F36CCB">
        <w:t xml:space="preserve">election of king </w:t>
      </w:r>
      <w:r>
        <w:t>Ptolemy: “you did choose that which is most excellent among men” … “you did choose the rulers of cities themselves” (69-70, 72).</w:t>
      </w:r>
      <w:r>
        <w:rPr>
          <w:rStyle w:val="FootnoteReference"/>
        </w:rPr>
        <w:footnoteReference w:id="37"/>
      </w:r>
      <w:r>
        <w:t xml:space="preserve">  The close relationship between </w:t>
      </w:r>
      <w:r w:rsidR="00B35F00">
        <w:t xml:space="preserve">Zeus </w:t>
      </w:r>
      <w:r>
        <w:t xml:space="preserve">and </w:t>
      </w:r>
      <w:r w:rsidR="00B35F00">
        <w:t>king</w:t>
      </w:r>
      <w:r>
        <w:t xml:space="preserve"> is indicated in the statement: “But from Zeus come kings; for nothing is diviner than the kings of Zeus” (</w:t>
      </w:r>
      <w:r>
        <w:rPr>
          <w:rFonts w:ascii="Gentium Plus" w:hAnsi="Gentium Plus"/>
          <w:lang w:val="el-GR"/>
        </w:rPr>
        <w:t>ἐκ δὲ Διὸς βασιλῆες, ἐπεὶ Διὸς οὐδὲν ἀνάκτων θειότερον</w:t>
      </w:r>
      <w:r>
        <w:t>, 78-79).</w:t>
      </w:r>
      <w:r>
        <w:rPr>
          <w:rStyle w:val="FootnoteReference"/>
        </w:rPr>
        <w:footnoteReference w:id="38"/>
      </w:r>
      <w:r>
        <w:t xml:space="preserve"> </w:t>
      </w:r>
      <w:r w:rsidR="005E332C">
        <w:t xml:space="preserve"> </w:t>
      </w:r>
      <w:r w:rsidR="001404F0">
        <w:t xml:space="preserve">Thus, </w:t>
      </w:r>
      <w:r>
        <w:t xml:space="preserve">the praise </w:t>
      </w:r>
      <w:r w:rsidR="005E332C">
        <w:t xml:space="preserve">of Zeus legitimates </w:t>
      </w:r>
      <w:r>
        <w:t>Ptolemy</w:t>
      </w:r>
      <w:r w:rsidR="005E332C">
        <w:t>’s kingship</w:t>
      </w:r>
      <w:r w:rsidR="00666A48">
        <w:t xml:space="preserve"> given that </w:t>
      </w:r>
      <w:r w:rsidR="00B35F00">
        <w:t>he</w:t>
      </w:r>
      <w:r w:rsidR="00666A48">
        <w:t xml:space="preserve"> rules as Zeus’ representative</w:t>
      </w:r>
      <w:r>
        <w:t>.</w:t>
      </w:r>
      <w:r>
        <w:rPr>
          <w:rStyle w:val="FootnoteReference"/>
        </w:rPr>
        <w:footnoteReference w:id="39"/>
      </w:r>
      <w:r>
        <w:t xml:space="preserve">  Tho</w:t>
      </w:r>
      <w:r w:rsidR="00401DAC">
        <w:t xml:space="preserve">se who rule well receive </w:t>
      </w:r>
      <w:r>
        <w:t>prosperity, and “one may well judge by our Ruler, for he has entirely outstripped all others” as demonstrated by his great accomplishments” (84-89).</w:t>
      </w:r>
      <w:r w:rsidR="00F36CCB">
        <w:t xml:space="preserve"> </w:t>
      </w:r>
    </w:p>
    <w:p w14:paraId="049C465B" w14:textId="4D26A117" w:rsidR="00A673AB" w:rsidRDefault="00A673AB" w:rsidP="00BC49A6">
      <w:pPr>
        <w:spacing w:line="480" w:lineRule="auto"/>
        <w:ind w:firstLine="720"/>
        <w:jc w:val="both"/>
      </w:pPr>
      <w:r>
        <w:t>Theocritus’ panegyric for Ptolemy (17</w:t>
      </w:r>
      <w:r w:rsidRPr="00A673AB">
        <w:rPr>
          <w:vertAlign w:val="superscript"/>
        </w:rPr>
        <w:t>th</w:t>
      </w:r>
      <w:r>
        <w:t xml:space="preserve"> Idyll)</w:t>
      </w:r>
      <w:r w:rsidR="003D4A8D">
        <w:t xml:space="preserve"> </w:t>
      </w:r>
      <w:r w:rsidR="008E01B2">
        <w:t xml:space="preserve">also </w:t>
      </w:r>
      <w:r w:rsidR="009919C7">
        <w:t>speaks of</w:t>
      </w:r>
      <w:r>
        <w:t xml:space="preserve"> the relationship between the king and Zeus.</w:t>
      </w:r>
      <w:r w:rsidR="009F7F5E">
        <w:rPr>
          <w:rStyle w:val="FootnoteReference"/>
        </w:rPr>
        <w:footnoteReference w:id="40"/>
      </w:r>
    </w:p>
    <w:p w14:paraId="2EB2ACE1" w14:textId="179EFFDE" w:rsidR="00A673AB" w:rsidRDefault="00A673AB" w:rsidP="00A673AB">
      <w:pPr>
        <w:ind w:left="720" w:right="720"/>
        <w:jc w:val="both"/>
        <w:rPr>
          <w:rFonts w:ascii="Cambria" w:hAnsi="Cambria"/>
        </w:rPr>
      </w:pPr>
      <w:r w:rsidRPr="00A673AB">
        <w:rPr>
          <w:rFonts w:ascii="Cambria" w:hAnsi="Cambria" w:cs="Times New Roman"/>
        </w:rPr>
        <w:t>With Zeus let us begin, Muses, and with Zeus I pray you end when the greatest of Immortals is exalted in our song: but for me first</w:t>
      </w:r>
      <w:r>
        <w:rPr>
          <w:rFonts w:ascii="Cambria" w:hAnsi="Cambria" w:cs="Times New Roman"/>
        </w:rPr>
        <w:t xml:space="preserve"> (</w:t>
      </w:r>
      <w:r>
        <w:rPr>
          <w:rFonts w:ascii="Gentium Plus" w:hAnsi="Gentium Plus" w:cs="Times New Roman"/>
          <w:lang w:val="el-GR"/>
        </w:rPr>
        <w:t>πρώτοισι</w:t>
      </w:r>
      <w:r>
        <w:rPr>
          <w:rFonts w:ascii="Cambria" w:hAnsi="Cambria" w:cs="Times New Roman"/>
        </w:rPr>
        <w:t>)</w:t>
      </w:r>
      <w:r w:rsidRPr="00A673AB">
        <w:rPr>
          <w:rFonts w:ascii="Cambria" w:hAnsi="Cambria" w:cs="Times New Roman"/>
        </w:rPr>
        <w:t>, midst and last by the name of Ptolemy; for he is of men the chiefest</w:t>
      </w:r>
      <w:r>
        <w:rPr>
          <w:rFonts w:ascii="Cambria" w:hAnsi="Cambria" w:cs="Times New Roman"/>
        </w:rPr>
        <w:t xml:space="preserve"> (1-4).</w:t>
      </w:r>
      <w:r>
        <w:rPr>
          <w:rStyle w:val="FootnoteReference"/>
          <w:rFonts w:ascii="Cambria" w:hAnsi="Cambria" w:cs="Times New Roman"/>
        </w:rPr>
        <w:footnoteReference w:id="41"/>
      </w:r>
    </w:p>
    <w:p w14:paraId="210C635C" w14:textId="6F9803B3" w:rsidR="009F7F5E" w:rsidRDefault="00401DAC" w:rsidP="00A673AB">
      <w:pPr>
        <w:spacing w:before="100" w:beforeAutospacing="1" w:after="100" w:afterAutospacing="1" w:line="480" w:lineRule="auto"/>
        <w:jc w:val="both"/>
        <w:rPr>
          <w:rFonts w:ascii="Cambria" w:hAnsi="Cambria" w:cs="Times New Roman"/>
        </w:rPr>
      </w:pPr>
      <w:r>
        <w:rPr>
          <w:rFonts w:ascii="Cambria" w:hAnsi="Cambria" w:cs="Times New Roman"/>
        </w:rPr>
        <w:t>T</w:t>
      </w:r>
      <w:r w:rsidR="00A673AB">
        <w:rPr>
          <w:rFonts w:ascii="Cambria" w:hAnsi="Cambria" w:cs="Times New Roman"/>
        </w:rPr>
        <w:t xml:space="preserve">he god legitimates the reign of </w:t>
      </w:r>
      <w:r>
        <w:rPr>
          <w:rFonts w:ascii="Cambria" w:hAnsi="Cambria" w:cs="Times New Roman"/>
        </w:rPr>
        <w:t>Ptolemy as the two</w:t>
      </w:r>
      <w:r w:rsidR="00A673AB">
        <w:rPr>
          <w:rFonts w:ascii="Cambria" w:hAnsi="Cambria" w:cs="Times New Roman"/>
        </w:rPr>
        <w:t xml:space="preserve"> are brought in the closest relationship whereby Ptole</w:t>
      </w:r>
      <w:r w:rsidR="00F36CCB">
        <w:rPr>
          <w:rFonts w:ascii="Cambria" w:hAnsi="Cambria" w:cs="Times New Roman"/>
        </w:rPr>
        <w:t>my</w:t>
      </w:r>
      <w:r w:rsidR="00A673AB">
        <w:rPr>
          <w:rFonts w:ascii="Cambria" w:hAnsi="Cambria" w:cs="Times New Roman"/>
        </w:rPr>
        <w:t xml:space="preserve"> </w:t>
      </w:r>
      <w:r w:rsidR="00A673AB" w:rsidRPr="00401DAC">
        <w:rPr>
          <w:rFonts w:ascii="Cambria" w:hAnsi="Cambria" w:cs="Times New Roman"/>
          <w:i/>
        </w:rPr>
        <w:t>rules humans as Zeus rules the immortals.</w:t>
      </w:r>
      <w:r w:rsidR="00A673AB">
        <w:rPr>
          <w:rFonts w:ascii="Cambria" w:hAnsi="Cambria" w:cs="Times New Roman"/>
        </w:rPr>
        <w:t xml:space="preserve"> Theocritus </w:t>
      </w:r>
      <w:r w:rsidR="008E01B2">
        <w:rPr>
          <w:rFonts w:ascii="Cambria" w:hAnsi="Cambria" w:cs="Times New Roman"/>
        </w:rPr>
        <w:t>says</w:t>
      </w:r>
      <w:r w:rsidR="00A673AB">
        <w:rPr>
          <w:rFonts w:ascii="Cambria" w:hAnsi="Cambria" w:cs="Times New Roman"/>
        </w:rPr>
        <w:t xml:space="preserve"> “he </w:t>
      </w:r>
      <w:r w:rsidR="008E01B2">
        <w:rPr>
          <w:rFonts w:ascii="Cambria" w:hAnsi="Cambria" w:cs="Times New Roman"/>
        </w:rPr>
        <w:t>will</w:t>
      </w:r>
      <w:r w:rsidR="00A673AB">
        <w:rPr>
          <w:rFonts w:ascii="Cambria" w:hAnsi="Cambria" w:cs="Times New Roman"/>
        </w:rPr>
        <w:t xml:space="preserve"> hymn to Ptolemy, seeing that hymns are a reward for even the gods above” (7-8).</w:t>
      </w:r>
      <w:r>
        <w:rPr>
          <w:rFonts w:ascii="Cambria" w:hAnsi="Cambria" w:cs="Times New Roman"/>
        </w:rPr>
        <w:t xml:space="preserve"> </w:t>
      </w:r>
      <w:r w:rsidR="00A673AB">
        <w:rPr>
          <w:rFonts w:ascii="Cambria" w:hAnsi="Cambria" w:cs="Times New Roman"/>
        </w:rPr>
        <w:t xml:space="preserve"> In singing of </w:t>
      </w:r>
      <w:r>
        <w:rPr>
          <w:rFonts w:ascii="Cambria" w:hAnsi="Cambria" w:cs="Times New Roman"/>
        </w:rPr>
        <w:t>Ptolemy’s birth</w:t>
      </w:r>
      <w:r w:rsidR="00F20462">
        <w:rPr>
          <w:rFonts w:ascii="Cambria" w:hAnsi="Cambria" w:cs="Times New Roman"/>
        </w:rPr>
        <w:t xml:space="preserve">, he sings of Zeus’ sending a </w:t>
      </w:r>
      <w:r w:rsidR="00A673AB">
        <w:rPr>
          <w:rFonts w:ascii="Cambria" w:hAnsi="Cambria" w:cs="Times New Roman"/>
        </w:rPr>
        <w:t>might</w:t>
      </w:r>
      <w:r>
        <w:rPr>
          <w:rFonts w:ascii="Cambria" w:hAnsi="Cambria" w:cs="Times New Roman"/>
        </w:rPr>
        <w:t>y</w:t>
      </w:r>
      <w:r w:rsidR="00A673AB">
        <w:rPr>
          <w:rFonts w:ascii="Cambria" w:hAnsi="Cambria" w:cs="Times New Roman"/>
        </w:rPr>
        <w:t xml:space="preserve"> eagle, for Zeus “cares for kings that he has loved from his earliest hour” and such a king is the recipient of “great good fortune and wins for himself the mastery</w:t>
      </w:r>
      <w:r w:rsidR="00F20462">
        <w:rPr>
          <w:rFonts w:ascii="Cambria" w:hAnsi="Cambria" w:cs="Times New Roman"/>
        </w:rPr>
        <w:t xml:space="preserve"> of both land and sea” (73-76).</w:t>
      </w:r>
      <w:r w:rsidR="00A673AB">
        <w:rPr>
          <w:rFonts w:ascii="Cambria" w:hAnsi="Cambria" w:cs="Times New Roman"/>
        </w:rPr>
        <w:t xml:space="preserve"> Not surprisingly, the king </w:t>
      </w:r>
      <w:r w:rsidR="00F36CCB">
        <w:rPr>
          <w:rFonts w:ascii="Cambria" w:hAnsi="Cambria" w:cs="Times New Roman"/>
        </w:rPr>
        <w:t xml:space="preserve">uses this fortune </w:t>
      </w:r>
      <w:r w:rsidR="00A673AB">
        <w:rPr>
          <w:rFonts w:ascii="Cambria" w:hAnsi="Cambria" w:cs="Times New Roman"/>
        </w:rPr>
        <w:t>to bestow benefactions upon his subjects (85-134).</w:t>
      </w:r>
      <w:r w:rsidR="009919C7">
        <w:rPr>
          <w:rStyle w:val="FootnoteReference"/>
          <w:rFonts w:ascii="Cambria" w:hAnsi="Cambria" w:cs="Times New Roman"/>
        </w:rPr>
        <w:footnoteReference w:id="42"/>
      </w:r>
      <w:r w:rsidR="00A673AB">
        <w:rPr>
          <w:rFonts w:ascii="Cambria" w:hAnsi="Cambria" w:cs="Times New Roman"/>
        </w:rPr>
        <w:t xml:space="preserve">  The hymn concludes with </w:t>
      </w:r>
      <w:r w:rsidR="00A76B71">
        <w:rPr>
          <w:rFonts w:ascii="Cambria" w:hAnsi="Cambria" w:cs="Times New Roman"/>
        </w:rPr>
        <w:t>the</w:t>
      </w:r>
      <w:r>
        <w:rPr>
          <w:rFonts w:ascii="Cambria" w:hAnsi="Cambria" w:cs="Times New Roman"/>
        </w:rPr>
        <w:t xml:space="preserve"> </w:t>
      </w:r>
      <w:r w:rsidR="00A76B71">
        <w:rPr>
          <w:rFonts w:ascii="Cambria" w:hAnsi="Cambria" w:cs="Times New Roman"/>
        </w:rPr>
        <w:t>promise:</w:t>
      </w:r>
      <w:r w:rsidR="00A673AB">
        <w:rPr>
          <w:rFonts w:ascii="Cambria" w:hAnsi="Cambria" w:cs="Times New Roman"/>
        </w:rPr>
        <w:t xml:space="preserve"> “I shall continue to speak of you</w:t>
      </w:r>
      <w:r>
        <w:rPr>
          <w:rFonts w:ascii="Cambria" w:hAnsi="Cambria" w:cs="Times New Roman"/>
        </w:rPr>
        <w:t xml:space="preserve"> [Ptolemy]</w:t>
      </w:r>
      <w:r w:rsidR="00A673AB">
        <w:rPr>
          <w:rFonts w:ascii="Cambria" w:hAnsi="Cambria" w:cs="Times New Roman"/>
        </w:rPr>
        <w:t xml:space="preserve"> as other demi-gods”</w:t>
      </w:r>
      <w:r w:rsidR="009F7F5E">
        <w:rPr>
          <w:rFonts w:ascii="Cambria" w:hAnsi="Cambria" w:cs="Times New Roman"/>
        </w:rPr>
        <w:t xml:space="preserve"> (135).</w:t>
      </w:r>
    </w:p>
    <w:p w14:paraId="5FEB08D2" w14:textId="74518F21" w:rsidR="009F7F5E" w:rsidRDefault="009F7F5E" w:rsidP="009F7F5E">
      <w:pPr>
        <w:spacing w:before="100" w:beforeAutospacing="1" w:after="100" w:afterAutospacing="1" w:line="480" w:lineRule="auto"/>
        <w:ind w:firstLine="720"/>
        <w:jc w:val="both"/>
        <w:rPr>
          <w:rFonts w:ascii="Cambria" w:hAnsi="Cambria" w:cs="Times New Roman"/>
        </w:rPr>
      </w:pPr>
      <w:r>
        <w:rPr>
          <w:rFonts w:ascii="Cambria" w:hAnsi="Cambria" w:cs="Times New Roman"/>
        </w:rPr>
        <w:t xml:space="preserve">Evidence for the composition and singing of hymns increases in the age of </w:t>
      </w:r>
      <w:r w:rsidR="00666A48">
        <w:rPr>
          <w:rFonts w:ascii="Cambria" w:hAnsi="Cambria" w:cs="Times New Roman"/>
        </w:rPr>
        <w:t>imperial</w:t>
      </w:r>
      <w:r>
        <w:rPr>
          <w:rFonts w:ascii="Cambria" w:hAnsi="Cambria" w:cs="Times New Roman"/>
        </w:rPr>
        <w:t xml:space="preserve"> Rome as hymns form a </w:t>
      </w:r>
      <w:r w:rsidR="00666A48">
        <w:rPr>
          <w:rFonts w:ascii="Cambria" w:hAnsi="Cambria" w:cs="Times New Roman"/>
        </w:rPr>
        <w:t>major</w:t>
      </w:r>
      <w:r>
        <w:rPr>
          <w:rFonts w:ascii="Cambria" w:hAnsi="Cambria" w:cs="Times New Roman"/>
        </w:rPr>
        <w:t xml:space="preserve"> component of emperor worship – so </w:t>
      </w:r>
      <w:r w:rsidR="00666A48">
        <w:rPr>
          <w:rFonts w:ascii="Cambria" w:hAnsi="Cambria" w:cs="Times New Roman"/>
        </w:rPr>
        <w:t xml:space="preserve">much so </w:t>
      </w:r>
      <w:r>
        <w:rPr>
          <w:rFonts w:ascii="Cambria" w:hAnsi="Cambria" w:cs="Times New Roman"/>
        </w:rPr>
        <w:t xml:space="preserve">that </w:t>
      </w:r>
      <w:r w:rsidR="00401DAC">
        <w:rPr>
          <w:rFonts w:ascii="Cambria" w:hAnsi="Cambria" w:cs="Times New Roman"/>
        </w:rPr>
        <w:t xml:space="preserve">these duties were given to a </w:t>
      </w:r>
      <w:r>
        <w:rPr>
          <w:rFonts w:ascii="Cambria" w:hAnsi="Cambria" w:cs="Times New Roman"/>
        </w:rPr>
        <w:t>professional writer of hymns</w:t>
      </w:r>
      <w:r w:rsidR="00666A48">
        <w:rPr>
          <w:rFonts w:ascii="Cambria" w:hAnsi="Cambria" w:cs="Times New Roman"/>
        </w:rPr>
        <w:t xml:space="preserve"> to </w:t>
      </w:r>
      <w:r w:rsidR="00115C53">
        <w:rPr>
          <w:rFonts w:ascii="Cambria" w:hAnsi="Cambria" w:cs="Times New Roman"/>
        </w:rPr>
        <w:t xml:space="preserve">emperors, </w:t>
      </w:r>
      <w:r>
        <w:rPr>
          <w:rFonts w:ascii="Cambria" w:hAnsi="Cambria" w:cs="Times New Roman"/>
        </w:rPr>
        <w:t xml:space="preserve">referred to as a </w:t>
      </w:r>
      <w:r>
        <w:rPr>
          <w:rFonts w:ascii="Gentium Plus" w:hAnsi="Gentium Plus" w:cs="Times New Roman"/>
          <w:lang w:val="el-GR"/>
        </w:rPr>
        <w:t>θεολόγος</w:t>
      </w:r>
      <w:r w:rsidR="00115C53">
        <w:rPr>
          <w:rFonts w:ascii="Cambria" w:hAnsi="Cambria" w:cs="Times New Roman"/>
        </w:rPr>
        <w:t xml:space="preserve"> or </w:t>
      </w:r>
      <w:r w:rsidR="00115C53">
        <w:rPr>
          <w:rFonts w:ascii="Gentium Plus" w:hAnsi="Gentium Plus" w:cs="Times New Roman"/>
          <w:lang w:val="el-GR"/>
        </w:rPr>
        <w:t>σεβαστολόγος</w:t>
      </w:r>
      <w:r w:rsidR="00115C53">
        <w:rPr>
          <w:rFonts w:ascii="Cambria" w:hAnsi="Cambria" w:cs="Times New Roman"/>
        </w:rPr>
        <w:t>.</w:t>
      </w:r>
      <w:r>
        <w:rPr>
          <w:rStyle w:val="FootnoteReference"/>
          <w:rFonts w:ascii="Cambria" w:hAnsi="Cambria" w:cs="Times New Roman"/>
        </w:rPr>
        <w:footnoteReference w:id="43"/>
      </w:r>
      <w:r>
        <w:rPr>
          <w:rFonts w:ascii="Cambria" w:hAnsi="Cambria" w:cs="Times New Roman"/>
        </w:rPr>
        <w:t xml:space="preserve">  One of the responsibilities of the </w:t>
      </w:r>
      <w:r>
        <w:rPr>
          <w:rFonts w:ascii="Gentium Plus" w:hAnsi="Gentium Plus" w:cs="Times New Roman"/>
          <w:lang w:val="el-GR"/>
        </w:rPr>
        <w:t>θεολόγος</w:t>
      </w:r>
      <w:r>
        <w:rPr>
          <w:rFonts w:ascii="Cambria" w:hAnsi="Cambria" w:cs="Times New Roman"/>
        </w:rPr>
        <w:t xml:space="preserve"> was to publicize the</w:t>
      </w:r>
      <w:r w:rsidR="00666A48">
        <w:rPr>
          <w:rFonts w:ascii="Cambria" w:hAnsi="Cambria" w:cs="Times New Roman"/>
        </w:rPr>
        <w:t xml:space="preserve"> emperor’s</w:t>
      </w:r>
      <w:r>
        <w:rPr>
          <w:rFonts w:ascii="Cambria" w:hAnsi="Cambria" w:cs="Times New Roman"/>
        </w:rPr>
        <w:t xml:space="preserve"> benefactions, powers, </w:t>
      </w:r>
      <w:r w:rsidR="00666A48">
        <w:rPr>
          <w:rFonts w:ascii="Cambria" w:hAnsi="Cambria" w:cs="Times New Roman"/>
        </w:rPr>
        <w:t>and achievements</w:t>
      </w:r>
      <w:r w:rsidR="00A76B71">
        <w:rPr>
          <w:rFonts w:ascii="Cambria" w:hAnsi="Cambria" w:cs="Times New Roman"/>
        </w:rPr>
        <w:t xml:space="preserve"> by composing hymns </w:t>
      </w:r>
      <w:r w:rsidR="00F20462">
        <w:rPr>
          <w:rFonts w:ascii="Cambria" w:hAnsi="Cambria" w:cs="Times New Roman"/>
        </w:rPr>
        <w:t>that</w:t>
      </w:r>
      <w:r w:rsidR="00A76B71">
        <w:rPr>
          <w:rFonts w:ascii="Cambria" w:hAnsi="Cambria" w:cs="Times New Roman"/>
        </w:rPr>
        <w:t xml:space="preserve"> would then be sung by choirs at provincial imperial cults</w:t>
      </w:r>
      <w:r>
        <w:rPr>
          <w:rFonts w:ascii="Cambria" w:hAnsi="Cambria" w:cs="Times New Roman"/>
        </w:rPr>
        <w:t>.</w:t>
      </w:r>
      <w:r>
        <w:rPr>
          <w:rStyle w:val="FootnoteReference"/>
          <w:rFonts w:ascii="Cambria" w:hAnsi="Cambria" w:cs="Times New Roman"/>
        </w:rPr>
        <w:footnoteReference w:id="44"/>
      </w:r>
    </w:p>
    <w:p w14:paraId="51415FFC" w14:textId="2C5330E0" w:rsidR="00326AF8" w:rsidRDefault="009F7F5E" w:rsidP="009F7F5E">
      <w:pPr>
        <w:spacing w:before="100" w:beforeAutospacing="1" w:after="100" w:afterAutospacing="1" w:line="480" w:lineRule="auto"/>
        <w:ind w:firstLine="720"/>
        <w:jc w:val="both"/>
      </w:pPr>
      <w:r>
        <w:rPr>
          <w:rFonts w:ascii="Cambria" w:hAnsi="Cambria" w:cs="Times New Roman"/>
        </w:rPr>
        <w:t>This is exemplified in an inscription containing a decree that “the choir of all Asia, gathering at Pergamum on the most holy birthday of Sebastos Tiberius Caesar god, performs a task that contributes greatly to the glory of Sebastos in hymning the imperial house and performing sacrifices to the Sebastan gods….”</w:t>
      </w:r>
      <w:r>
        <w:rPr>
          <w:rStyle w:val="FootnoteReference"/>
          <w:rFonts w:ascii="Cambria" w:hAnsi="Cambria" w:cs="Times New Roman"/>
        </w:rPr>
        <w:footnoteReference w:id="45"/>
      </w:r>
      <w:r>
        <w:rPr>
          <w:rFonts w:ascii="Cambria" w:hAnsi="Cambria" w:cs="Times New Roman"/>
        </w:rPr>
        <w:t xml:space="preserve"> Augustus declares: “my name was incorporated into the hymns of the Salii by decree of the Senate” (</w:t>
      </w:r>
      <w:r>
        <w:rPr>
          <w:rFonts w:ascii="Cambria" w:hAnsi="Cambria" w:cs="Times New Roman"/>
          <w:i/>
        </w:rPr>
        <w:t>Res Gestae</w:t>
      </w:r>
      <w:r>
        <w:rPr>
          <w:rFonts w:ascii="Cambria" w:hAnsi="Cambria" w:cs="Times New Roman"/>
        </w:rPr>
        <w:t xml:space="preserve"> 10.1).</w:t>
      </w:r>
      <w:r w:rsidR="00B35F00">
        <w:rPr>
          <w:rFonts w:ascii="Cambria" w:hAnsi="Cambria" w:cs="Times New Roman"/>
        </w:rPr>
        <w:t xml:space="preserve">  </w:t>
      </w:r>
      <w:r>
        <w:rPr>
          <w:rFonts w:ascii="Cambria" w:hAnsi="Cambria" w:cs="Times New Roman"/>
        </w:rPr>
        <w:t xml:space="preserve">Dio Cassius </w:t>
      </w:r>
      <w:r w:rsidR="00B35F00">
        <w:rPr>
          <w:rFonts w:ascii="Cambria" w:hAnsi="Cambria" w:cs="Times New Roman"/>
        </w:rPr>
        <w:t>also</w:t>
      </w:r>
      <w:r>
        <w:rPr>
          <w:rFonts w:ascii="Cambria" w:hAnsi="Cambria" w:cs="Times New Roman"/>
        </w:rPr>
        <w:t xml:space="preserve"> lists as one of the many honors bestowed upon Augustus “that his name should be included in their hymns </w:t>
      </w:r>
      <w:r w:rsidRPr="009F7F5E">
        <w:rPr>
          <w:rFonts w:ascii="Cambria" w:hAnsi="Cambria" w:cs="Times New Roman"/>
          <w:i/>
        </w:rPr>
        <w:t>equally with those of the gods</w:t>
      </w:r>
      <w:r>
        <w:rPr>
          <w:rFonts w:ascii="Cambria" w:hAnsi="Cambria" w:cs="Times New Roman"/>
        </w:rPr>
        <w:t xml:space="preserve"> (</w:t>
      </w:r>
      <w:r>
        <w:rPr>
          <w:rFonts w:ascii="Gentium Plus" w:hAnsi="Gentium Plus" w:cs="Times New Roman"/>
          <w:lang w:val="el-GR"/>
        </w:rPr>
        <w:t>τοὺς ὕμνους αὐτὸν ἐξ ἴσου τοῖς θεοῖς</w:t>
      </w:r>
      <w:r>
        <w:rPr>
          <w:rFonts w:ascii="Cambria" w:hAnsi="Cambria" w:cs="Times New Roman"/>
        </w:rPr>
        <w:t xml:space="preserve">)” (51.20.1).” </w:t>
      </w:r>
      <w:r w:rsidR="00236F9E">
        <w:rPr>
          <w:rFonts w:ascii="Cambria" w:hAnsi="Cambria" w:cs="Times New Roman"/>
        </w:rPr>
        <w:t xml:space="preserve">Suetonius recounts the story of the crew of an Alexandrian ship who, when Augustus sailed by, “put on white robes and garlands, burned incense, wished him all good fortune, and sang praises” (Suet. </w:t>
      </w:r>
      <w:r w:rsidR="00236F9E" w:rsidRPr="00236F9E">
        <w:rPr>
          <w:rFonts w:ascii="Cambria" w:hAnsi="Cambria" w:cs="Times New Roman"/>
          <w:i/>
          <w:iCs/>
        </w:rPr>
        <w:t>Aug</w:t>
      </w:r>
      <w:r w:rsidR="00236F9E">
        <w:rPr>
          <w:rFonts w:ascii="Cambria" w:hAnsi="Cambria" w:cs="Times New Roman"/>
        </w:rPr>
        <w:t xml:space="preserve">. 98). </w:t>
      </w:r>
      <w:r w:rsidR="00DE2599">
        <w:rPr>
          <w:rFonts w:ascii="Cambria" w:hAnsi="Cambria" w:cs="Times New Roman"/>
        </w:rPr>
        <w:t xml:space="preserve"> Simon </w:t>
      </w:r>
      <w:r>
        <w:rPr>
          <w:rFonts w:ascii="Cambria" w:hAnsi="Cambria" w:cs="Times New Roman"/>
        </w:rPr>
        <w:t xml:space="preserve">Price mentions that a certain Coan distinguished himself by winning </w:t>
      </w:r>
      <w:r w:rsidR="00B35F00">
        <w:rPr>
          <w:rFonts w:ascii="Cambria" w:hAnsi="Cambria" w:cs="Times New Roman"/>
        </w:rPr>
        <w:t>contests</w:t>
      </w:r>
      <w:r>
        <w:rPr>
          <w:rFonts w:ascii="Cambria" w:hAnsi="Cambria" w:cs="Times New Roman"/>
        </w:rPr>
        <w:t xml:space="preserve"> for writing encomia “to the founder of the city Sebastos Caesar and the benefactors Tiberius Caesar and Germanicus Caesar and all their house </w:t>
      </w:r>
      <w:r w:rsidRPr="009F7F5E">
        <w:rPr>
          <w:rFonts w:ascii="Cambria" w:hAnsi="Cambria" w:cs="Times New Roman"/>
          <w:i/>
        </w:rPr>
        <w:t>and to all the other gods</w:t>
      </w:r>
      <w:r>
        <w:rPr>
          <w:rFonts w:ascii="Cambria" w:hAnsi="Cambria" w:cs="Times New Roman"/>
        </w:rPr>
        <w:t xml:space="preserve"> in each city.”</w:t>
      </w:r>
      <w:r>
        <w:rPr>
          <w:rStyle w:val="FootnoteReference"/>
          <w:rFonts w:ascii="Cambria" w:hAnsi="Cambria" w:cs="Times New Roman"/>
        </w:rPr>
        <w:footnoteReference w:id="46"/>
      </w:r>
      <w:r>
        <w:rPr>
          <w:rFonts w:ascii="Cambria" w:hAnsi="Cambria" w:cs="Times New Roman"/>
        </w:rPr>
        <w:t xml:space="preserve">  Dio says the senate gathered around his throne and “wasted the day in singing laudations and prayers in his presence” (59.24.5).  Tacitus </w:t>
      </w:r>
      <w:r w:rsidR="00F36CCB">
        <w:rPr>
          <w:rFonts w:ascii="Cambria" w:hAnsi="Cambria" w:cs="Times New Roman"/>
        </w:rPr>
        <w:t>says</w:t>
      </w:r>
      <w:r>
        <w:rPr>
          <w:rFonts w:ascii="Cambria" w:hAnsi="Cambria" w:cs="Times New Roman"/>
        </w:rPr>
        <w:t xml:space="preserve"> that Nero had 5,000 knights who followed him and “day and night kept up a thunder of applause, </w:t>
      </w:r>
      <w:r w:rsidRPr="00F36CCB">
        <w:rPr>
          <w:rFonts w:ascii="Cambria" w:hAnsi="Cambria" w:cs="Times New Roman"/>
        </w:rPr>
        <w:t>and applied to the emperor’s person the voice and epithets of deities</w:t>
      </w:r>
      <w:r>
        <w:rPr>
          <w:rFonts w:ascii="Cambria" w:hAnsi="Cambria" w:cs="Times New Roman"/>
        </w:rPr>
        <w:t>” (</w:t>
      </w:r>
      <w:r w:rsidRPr="009F7F5E">
        <w:rPr>
          <w:rFonts w:ascii="Cambria" w:hAnsi="Cambria" w:cs="Times New Roman"/>
          <w:i/>
          <w:iCs/>
        </w:rPr>
        <w:t>Annals</w:t>
      </w:r>
      <w:r>
        <w:rPr>
          <w:rFonts w:ascii="Cambria" w:hAnsi="Cambria" w:cs="Times New Roman"/>
        </w:rPr>
        <w:t xml:space="preserve"> 14.15).</w:t>
      </w:r>
      <w:r>
        <w:rPr>
          <w:rStyle w:val="FootnoteReference"/>
          <w:rFonts w:ascii="Cambria" w:hAnsi="Cambria" w:cs="Times New Roman"/>
        </w:rPr>
        <w:footnoteReference w:id="47"/>
      </w:r>
      <w:r>
        <w:rPr>
          <w:rFonts w:ascii="Cambria" w:hAnsi="Cambria" w:cs="Times New Roman"/>
        </w:rPr>
        <w:t xml:space="preserve">  </w:t>
      </w:r>
      <w:r>
        <w:t>Antony is said to have</w:t>
      </w:r>
      <w:r w:rsidR="00F36CCB">
        <w:t xml:space="preserve"> “hymned [Caesar] as a heavenly god</w:t>
      </w:r>
      <w:r>
        <w:t>” (</w:t>
      </w:r>
      <w:r>
        <w:rPr>
          <w:rFonts w:ascii="Gentium Plus" w:hAnsi="Gentium Plus"/>
          <w:lang w:val="el-GR"/>
        </w:rPr>
        <w:t>ὡς θεὸν οὐρανίον ὓμνει</w:t>
      </w:r>
      <w:r>
        <w:t xml:space="preserve">) because of his exploits (Appian, </w:t>
      </w:r>
      <w:r w:rsidRPr="009F7F5E">
        <w:rPr>
          <w:i/>
          <w:iCs/>
        </w:rPr>
        <w:t>Civil War</w:t>
      </w:r>
      <w:r>
        <w:t xml:space="preserve"> 2.146).</w:t>
      </w:r>
      <w:r w:rsidR="00326AF8">
        <w:t xml:space="preserve"> </w:t>
      </w:r>
      <w:r w:rsidR="00F20462">
        <w:t xml:space="preserve"> </w:t>
      </w:r>
      <w:r w:rsidR="00326AF8">
        <w:t xml:space="preserve">Steven Friesen notes the decree from the provincial council of Asia: </w:t>
      </w:r>
    </w:p>
    <w:p w14:paraId="29C8F580" w14:textId="748333FA" w:rsidR="009F7F5E" w:rsidRDefault="00326AF8" w:rsidP="00326AF8">
      <w:pPr>
        <w:spacing w:before="100" w:beforeAutospacing="1" w:after="100" w:afterAutospacing="1"/>
        <w:ind w:left="720" w:right="720"/>
        <w:jc w:val="both"/>
        <w:rPr>
          <w:rFonts w:ascii="Cambria" w:hAnsi="Cambria" w:cs="Times New Roman"/>
        </w:rPr>
      </w:pPr>
      <w:r>
        <w:t>Since it is appropriate to provide a public display of reverence and of pious consideration toward the imperial household during the year, the hymnodes from all Asia – coming together in Pergamon on the most holy birthday of Sebastos Tiberius Caesar God – complete a great work to the glory of the assembly, making hymns to the imperial house and completing sacrifices to the gods Sebastoi….</w:t>
      </w:r>
      <w:r>
        <w:rPr>
          <w:rStyle w:val="FootnoteReference"/>
        </w:rPr>
        <w:footnoteReference w:id="48"/>
      </w:r>
    </w:p>
    <w:p w14:paraId="40024AA5" w14:textId="4000B6F4" w:rsidR="009F7F5E" w:rsidRDefault="009F7F5E" w:rsidP="009F7F5E">
      <w:pPr>
        <w:spacing w:before="100" w:beforeAutospacing="1" w:after="100" w:afterAutospacing="1" w:line="480" w:lineRule="auto"/>
        <w:ind w:firstLine="720"/>
        <w:jc w:val="both"/>
        <w:rPr>
          <w:rFonts w:ascii="Cambria" w:hAnsi="Cambria" w:cs="Times New Roman"/>
        </w:rPr>
      </w:pPr>
      <w:r>
        <w:rPr>
          <w:rFonts w:ascii="Cambria" w:hAnsi="Cambria" w:cs="Times New Roman"/>
        </w:rPr>
        <w:t>While the content of</w:t>
      </w:r>
      <w:r w:rsidR="00F36CCB">
        <w:rPr>
          <w:rFonts w:ascii="Cambria" w:hAnsi="Cambria" w:cs="Times New Roman"/>
        </w:rPr>
        <w:t xml:space="preserve"> most of</w:t>
      </w:r>
      <w:r>
        <w:rPr>
          <w:rFonts w:ascii="Cambria" w:hAnsi="Cambria" w:cs="Times New Roman"/>
        </w:rPr>
        <w:t xml:space="preserve"> these encomia have not survived, testimony to their frequent occurrence is widespread and the ideological content of the hymns can be discerned from the numerous honors and praises found in inscriptions.</w:t>
      </w:r>
      <w:r>
        <w:rPr>
          <w:rStyle w:val="FootnoteReference"/>
          <w:rFonts w:ascii="Cambria" w:hAnsi="Cambria" w:cs="Times New Roman"/>
        </w:rPr>
        <w:footnoteReference w:id="49"/>
      </w:r>
      <w:r w:rsidR="00F20462">
        <w:rPr>
          <w:rFonts w:ascii="Cambria" w:hAnsi="Cambria" w:cs="Times New Roman"/>
        </w:rPr>
        <w:t xml:space="preserve">  One frequently occurring motif is the praise of the ruler for </w:t>
      </w:r>
      <w:r w:rsidR="00F20462" w:rsidRPr="00F20462">
        <w:rPr>
          <w:rFonts w:ascii="Cambria" w:hAnsi="Cambria" w:cs="Times New Roman"/>
          <w:i/>
          <w:iCs/>
        </w:rPr>
        <w:t>creatin</w:t>
      </w:r>
      <w:r w:rsidR="00F20462">
        <w:rPr>
          <w:rFonts w:ascii="Cambria" w:hAnsi="Cambria" w:cs="Times New Roman"/>
          <w:i/>
          <w:iCs/>
        </w:rPr>
        <w:t>g or re-creating</w:t>
      </w:r>
      <w:r w:rsidR="00F20462">
        <w:rPr>
          <w:rFonts w:ascii="Cambria" w:hAnsi="Cambria" w:cs="Times New Roman"/>
          <w:iCs/>
        </w:rPr>
        <w:t xml:space="preserve"> a peaceful new world order.</w:t>
      </w:r>
      <w:r>
        <w:rPr>
          <w:rFonts w:ascii="Cambria" w:hAnsi="Cambria" w:cs="Times New Roman"/>
        </w:rPr>
        <w:t xml:space="preserve"> For example,</w:t>
      </w:r>
      <w:r w:rsidR="00BF5B72">
        <w:rPr>
          <w:rFonts w:ascii="Cambria" w:hAnsi="Cambria" w:cs="Times New Roman"/>
        </w:rPr>
        <w:t xml:space="preserve"> in</w:t>
      </w:r>
      <w:r>
        <w:rPr>
          <w:rFonts w:ascii="Cambria" w:hAnsi="Cambria" w:cs="Times New Roman"/>
        </w:rPr>
        <w:t xml:space="preserve"> the Priene </w:t>
      </w:r>
      <w:r w:rsidRPr="00DE2599">
        <w:rPr>
          <w:rFonts w:ascii="Cambria" w:hAnsi="Cambria" w:cs="Times New Roman"/>
          <w:u w:val="single"/>
        </w:rPr>
        <w:t>Letter</w:t>
      </w:r>
      <w:r w:rsidR="00F20462">
        <w:rPr>
          <w:rFonts w:ascii="Cambria" w:hAnsi="Cambria" w:cs="Times New Roman"/>
        </w:rPr>
        <w:t xml:space="preserve"> of the Roman proconsul</w:t>
      </w:r>
      <w:r w:rsidR="00BF5B72">
        <w:rPr>
          <w:rFonts w:ascii="Cambria" w:hAnsi="Cambria" w:cs="Times New Roman"/>
        </w:rPr>
        <w:t xml:space="preserve"> Augustus is spoken of with cosmological language as the creator of a new world</w:t>
      </w:r>
      <w:r>
        <w:rPr>
          <w:rFonts w:ascii="Cambria" w:hAnsi="Cambria" w:cs="Times New Roman"/>
        </w:rPr>
        <w:t>:</w:t>
      </w:r>
    </w:p>
    <w:p w14:paraId="6721DC7C" w14:textId="029C0FDA" w:rsidR="009F7F5E" w:rsidRDefault="009F7F5E" w:rsidP="009F7F5E">
      <w:pPr>
        <w:spacing w:before="100" w:beforeAutospacing="1" w:after="100" w:afterAutospacing="1"/>
        <w:ind w:left="720" w:right="720"/>
        <w:jc w:val="both"/>
        <w:rPr>
          <w:rFonts w:ascii="Cambria" w:hAnsi="Cambria" w:cs="Times New Roman"/>
        </w:rPr>
      </w:pPr>
      <w:r>
        <w:rPr>
          <w:rFonts w:ascii="Cambria" w:hAnsi="Cambria" w:cs="Times New Roman"/>
        </w:rPr>
        <w:t>It is hard to tell whether the birthday of the most divine Caesar is a matter of greater pleasure or benefit.  We could justly hold it to be equivalent to the beginning of all things (</w:t>
      </w:r>
      <w:r>
        <w:rPr>
          <w:rFonts w:ascii="Gentium Plus" w:hAnsi="Gentium Plus" w:cs="Times New Roman"/>
          <w:lang w:val="el-GR"/>
        </w:rPr>
        <w:t>τῶν πάντων ἀρχῆι</w:t>
      </w:r>
      <w:r>
        <w:rPr>
          <w:rFonts w:ascii="Cambria" w:hAnsi="Cambria" w:cs="Times New Roman"/>
        </w:rPr>
        <w:t>), and he has restored at least to serviceability, if not to its natural state, every form that had become imperfect and fallen into misfortune; and he has given a different aspect to the whole world, which blithely would have embraced its own destruction if Caesar had not been born for the common benefit of all.  Therefore people would be right to consider this to have been the beginning of the breath of life (</w:t>
      </w:r>
      <w:r>
        <w:rPr>
          <w:rFonts w:ascii="Gentium Plus" w:hAnsi="Gentium Plus" w:cs="Times New Roman"/>
          <w:lang w:val="el-GR"/>
        </w:rPr>
        <w:t>ἀρχὴν τοῦ βίου καὶ τῆς ζωῆς</w:t>
      </w:r>
      <w:r>
        <w:rPr>
          <w:rFonts w:ascii="Cambria" w:hAnsi="Cambria" w:cs="Times New Roman"/>
        </w:rPr>
        <w:t>) … and since it is difficult to render thanks in due measure for his great benefactions unless in each case we should devise some new method of repayment….</w:t>
      </w:r>
      <w:r>
        <w:rPr>
          <w:rStyle w:val="FootnoteReference"/>
          <w:rFonts w:ascii="Cambria" w:hAnsi="Cambria" w:cs="Times New Roman"/>
        </w:rPr>
        <w:footnoteReference w:id="50"/>
      </w:r>
    </w:p>
    <w:p w14:paraId="333E004B" w14:textId="08045C11" w:rsidR="009F7F5E" w:rsidRDefault="00BF5B72" w:rsidP="009F7F5E">
      <w:pPr>
        <w:spacing w:before="100" w:beforeAutospacing="1" w:after="100" w:afterAutospacing="1" w:line="480" w:lineRule="auto"/>
        <w:jc w:val="both"/>
        <w:rPr>
          <w:rFonts w:ascii="Cambria" w:hAnsi="Cambria" w:cs="Times New Roman"/>
        </w:rPr>
      </w:pPr>
      <w:r>
        <w:rPr>
          <w:rFonts w:ascii="Cambria" w:hAnsi="Cambria" w:cs="Times New Roman"/>
        </w:rPr>
        <w:t>The birthday of Augustus clearly signals the creation, or better – new creation of a new world.</w:t>
      </w:r>
      <w:r>
        <w:rPr>
          <w:rStyle w:val="FootnoteReference"/>
          <w:rFonts w:ascii="Cambria" w:hAnsi="Cambria" w:cs="Times New Roman"/>
        </w:rPr>
        <w:footnoteReference w:id="51"/>
      </w:r>
      <w:r>
        <w:rPr>
          <w:rFonts w:ascii="Cambria" w:hAnsi="Cambria" w:cs="Times New Roman"/>
        </w:rPr>
        <w:t xml:space="preserve"> </w:t>
      </w:r>
      <w:r w:rsidR="005C1840">
        <w:rPr>
          <w:rFonts w:ascii="Cambria" w:hAnsi="Cambria" w:cs="Times New Roman"/>
        </w:rPr>
        <w:t xml:space="preserve">The praise </w:t>
      </w:r>
      <w:r w:rsidR="009F7F5E">
        <w:rPr>
          <w:rFonts w:ascii="Cambria" w:hAnsi="Cambria" w:cs="Times New Roman"/>
        </w:rPr>
        <w:t xml:space="preserve">that </w:t>
      </w:r>
      <w:r w:rsidR="005C1840">
        <w:rPr>
          <w:rFonts w:ascii="Cambria" w:hAnsi="Cambria" w:cs="Times New Roman"/>
        </w:rPr>
        <w:t>speaks of</w:t>
      </w:r>
      <w:r w:rsidR="009F7F5E">
        <w:rPr>
          <w:rFonts w:ascii="Cambria" w:hAnsi="Cambria" w:cs="Times New Roman"/>
        </w:rPr>
        <w:t xml:space="preserve"> </w:t>
      </w:r>
      <w:r w:rsidR="005C1840">
        <w:rPr>
          <w:rFonts w:ascii="Cambria" w:hAnsi="Cambria" w:cs="Times New Roman"/>
        </w:rPr>
        <w:t>Augustus’</w:t>
      </w:r>
      <w:r w:rsidR="009F7F5E">
        <w:rPr>
          <w:rFonts w:ascii="Cambria" w:hAnsi="Cambria" w:cs="Times New Roman"/>
        </w:rPr>
        <w:t xml:space="preserve"> appearance as the “beginning of all things” and the “beginning of the breath of life” for the people refers to </w:t>
      </w:r>
      <w:r w:rsidR="005C1840">
        <w:rPr>
          <w:rFonts w:ascii="Cambria" w:hAnsi="Cambria" w:cs="Times New Roman"/>
        </w:rPr>
        <w:t>his</w:t>
      </w:r>
      <w:r w:rsidR="009F7F5E">
        <w:rPr>
          <w:rFonts w:ascii="Cambria" w:hAnsi="Cambria" w:cs="Times New Roman"/>
        </w:rPr>
        <w:t xml:space="preserve"> powerful benefactions “who brought war to an end and set everything in peaceful order </w:t>
      </w:r>
      <w:r w:rsidR="009F7F5E">
        <w:rPr>
          <w:rFonts w:ascii="Gentium Plus" w:hAnsi="Gentium Plus" w:cs="Times New Roman"/>
          <w:lang w:val="el-GR"/>
        </w:rPr>
        <w:t xml:space="preserve">(τὸν παύσαντα μὲν πόλεμον, κοσμήσοντα </w:t>
      </w:r>
      <w:r w:rsidR="009F7F5E">
        <w:rPr>
          <w:rFonts w:ascii="Gentium Plus" w:hAnsi="Gentium Plus" w:cs="Times New Roman"/>
        </w:rPr>
        <w:t>[</w:t>
      </w:r>
      <w:r w:rsidR="009F7F5E">
        <w:rPr>
          <w:rFonts w:ascii="Gentium Plus" w:hAnsi="Gentium Plus" w:cs="Times New Roman"/>
          <w:lang w:val="el-GR"/>
        </w:rPr>
        <w:t>δὲ εἰρήνην</w:t>
      </w:r>
      <w:r w:rsidR="009F7F5E">
        <w:rPr>
          <w:rFonts w:ascii="Cambria" w:hAnsi="Cambria" w:cs="Times New Roman"/>
        </w:rPr>
        <w:t>).”</w:t>
      </w:r>
      <w:r w:rsidR="009F7F5E">
        <w:rPr>
          <w:rStyle w:val="FootnoteReference"/>
          <w:rFonts w:ascii="Cambria" w:hAnsi="Cambria" w:cs="Times New Roman"/>
        </w:rPr>
        <w:footnoteReference w:id="52"/>
      </w:r>
      <w:r w:rsidR="009F7F5E">
        <w:rPr>
          <w:rFonts w:ascii="Cambria" w:hAnsi="Cambria" w:cs="Times New Roman"/>
        </w:rPr>
        <w:t xml:space="preserve">  Augustus has “surpassed the benefactors born before him, but not even leaving those to come any hope of surpassing him; and whereas the birthday of the god marked for the world the beginning of good tidings through his coming….”</w:t>
      </w:r>
      <w:r w:rsidR="009F7F5E">
        <w:rPr>
          <w:rStyle w:val="FootnoteReference"/>
          <w:rFonts w:ascii="Cambria" w:hAnsi="Cambria" w:cs="Times New Roman"/>
        </w:rPr>
        <w:footnoteReference w:id="53"/>
      </w:r>
      <w:r w:rsidR="009F7F5E">
        <w:rPr>
          <w:rFonts w:ascii="Cambria" w:hAnsi="Cambria" w:cs="Times New Roman"/>
        </w:rPr>
        <w:t xml:space="preserve"> Nero is also praised as “the lord of the whole world (</w:t>
      </w:r>
      <w:r w:rsidR="009F7F5E">
        <w:rPr>
          <w:rFonts w:ascii="Gentium Plus" w:hAnsi="Gentium Plus" w:cs="Times New Roman"/>
          <w:lang w:val="el-GR"/>
        </w:rPr>
        <w:t>παντὸς κόσμου κύριος</w:t>
      </w:r>
      <w:r w:rsidR="00B35F00">
        <w:rPr>
          <w:rFonts w:ascii="Cambria" w:hAnsi="Cambria" w:cs="Times New Roman"/>
        </w:rPr>
        <w:t>)</w:t>
      </w:r>
      <w:r w:rsidR="009F7F5E">
        <w:rPr>
          <w:rFonts w:ascii="Cambria" w:hAnsi="Cambria" w:cs="Times New Roman"/>
        </w:rPr>
        <w:t>”</w:t>
      </w:r>
      <w:r w:rsidR="00B35F00">
        <w:rPr>
          <w:rFonts w:ascii="Cambria" w:hAnsi="Cambria" w:cs="Times New Roman"/>
        </w:rPr>
        <w:t xml:space="preserve"> for being</w:t>
      </w:r>
      <w:r w:rsidR="009F7F5E">
        <w:rPr>
          <w:rFonts w:ascii="Cambria" w:hAnsi="Cambria" w:cs="Times New Roman"/>
        </w:rPr>
        <w:t xml:space="preserve"> </w:t>
      </w:r>
      <w:r w:rsidR="00B35F00">
        <w:rPr>
          <w:rFonts w:ascii="Cambria" w:hAnsi="Cambria" w:cs="Times New Roman"/>
        </w:rPr>
        <w:t>“</w:t>
      </w:r>
      <w:r w:rsidR="009F7F5E">
        <w:rPr>
          <w:rFonts w:ascii="Cambria" w:hAnsi="Cambria" w:cs="Times New Roman"/>
        </w:rPr>
        <w:t>a benefactor of Greece.”</w:t>
      </w:r>
      <w:r w:rsidR="009F7F5E">
        <w:rPr>
          <w:rStyle w:val="FootnoteReference"/>
          <w:rFonts w:ascii="Cambria" w:hAnsi="Cambria" w:cs="Times New Roman"/>
        </w:rPr>
        <w:footnoteReference w:id="54"/>
      </w:r>
      <w:r w:rsidR="009F7F5E">
        <w:rPr>
          <w:rFonts w:ascii="Cambria" w:hAnsi="Cambria" w:cs="Times New Roman"/>
        </w:rPr>
        <w:t xml:space="preserve"> The ideology of divine honors bestowed upon rulers who have performed benefactions for </w:t>
      </w:r>
      <w:r w:rsidR="00C11FB3">
        <w:rPr>
          <w:rFonts w:ascii="Cambria" w:hAnsi="Cambria" w:cs="Times New Roman"/>
        </w:rPr>
        <w:t>humanity</w:t>
      </w:r>
      <w:r w:rsidR="009F7F5E">
        <w:rPr>
          <w:rFonts w:ascii="Cambria" w:hAnsi="Cambria" w:cs="Times New Roman"/>
        </w:rPr>
        <w:t>, particularly bringing peace by ending war, is evident</w:t>
      </w:r>
      <w:r w:rsidR="00F20462">
        <w:rPr>
          <w:rFonts w:ascii="Cambria" w:hAnsi="Cambria" w:cs="Times New Roman"/>
        </w:rPr>
        <w:t xml:space="preserve"> and frequently blends into praise of the ruler as creator or re-creator.</w:t>
      </w:r>
      <w:r w:rsidR="009F7F5E">
        <w:rPr>
          <w:rStyle w:val="FootnoteReference"/>
          <w:rFonts w:ascii="Cambria" w:hAnsi="Cambria" w:cs="Times New Roman"/>
        </w:rPr>
        <w:footnoteReference w:id="55"/>
      </w:r>
    </w:p>
    <w:p w14:paraId="00A675D2" w14:textId="7586D567" w:rsidR="00115C53" w:rsidRDefault="00F20462"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 xml:space="preserve">One can observe this motif in the hymns to Augustus penned by </w:t>
      </w:r>
      <w:r w:rsidR="00401DAC">
        <w:rPr>
          <w:rFonts w:ascii="Cambria" w:hAnsi="Cambria" w:cs="Times New Roman"/>
        </w:rPr>
        <w:t xml:space="preserve">the poet </w:t>
      </w:r>
      <w:r w:rsidR="007A608F">
        <w:rPr>
          <w:rFonts w:ascii="Cambria" w:hAnsi="Cambria" w:cs="Times New Roman"/>
        </w:rPr>
        <w:t xml:space="preserve">Horace. </w:t>
      </w:r>
      <w:r w:rsidR="00115C53">
        <w:rPr>
          <w:rFonts w:ascii="Cambria" w:hAnsi="Cambria" w:cs="Times New Roman"/>
        </w:rPr>
        <w:t>The interweaving of cosmological motifs with military</w:t>
      </w:r>
      <w:r w:rsidR="00DE2599">
        <w:rPr>
          <w:rFonts w:ascii="Cambria" w:hAnsi="Cambria" w:cs="Times New Roman"/>
        </w:rPr>
        <w:t xml:space="preserve"> victories</w:t>
      </w:r>
      <w:r w:rsidR="00115C53">
        <w:rPr>
          <w:rFonts w:ascii="Cambria" w:hAnsi="Cambria" w:cs="Times New Roman"/>
        </w:rPr>
        <w:t xml:space="preserve"> is particularly striking.  Thus, Horace praises Augustus </w:t>
      </w:r>
      <w:r w:rsidR="00DE2599">
        <w:rPr>
          <w:rFonts w:ascii="Cambria" w:hAnsi="Cambria" w:cs="Times New Roman"/>
        </w:rPr>
        <w:t>since</w:t>
      </w:r>
      <w:r w:rsidR="00115C53">
        <w:rPr>
          <w:rFonts w:ascii="Cambria" w:hAnsi="Cambria" w:cs="Times New Roman"/>
        </w:rPr>
        <w:t xml:space="preserve"> his reign has “brought back abundant crops to our fields and restored to our Jove the standards stripped from the proud portals of the Parthians. And freed from wars, has closed the sanctuary of Janus Quirinus” (</w:t>
      </w:r>
      <w:r w:rsidR="00115C53">
        <w:rPr>
          <w:rFonts w:ascii="Cambria" w:hAnsi="Cambria" w:cs="Times New Roman"/>
          <w:i/>
        </w:rPr>
        <w:t>Ode</w:t>
      </w:r>
      <w:r w:rsidR="00115C53">
        <w:rPr>
          <w:rFonts w:ascii="Cambria" w:hAnsi="Cambria" w:cs="Times New Roman"/>
        </w:rPr>
        <w:t xml:space="preserve"> 4.15.5-10).</w:t>
      </w:r>
      <w:r w:rsidR="00115C53">
        <w:rPr>
          <w:rStyle w:val="FootnoteReference"/>
          <w:rFonts w:ascii="Cambria" w:hAnsi="Cambria" w:cs="Times New Roman"/>
        </w:rPr>
        <w:footnoteReference w:id="56"/>
      </w:r>
      <w:r w:rsidR="00115C53">
        <w:rPr>
          <w:rFonts w:ascii="Cambria" w:hAnsi="Cambria" w:cs="Times New Roman"/>
        </w:rPr>
        <w:t xml:space="preserve"> </w:t>
      </w:r>
      <w:r w:rsidR="00401DAC">
        <w:rPr>
          <w:rFonts w:ascii="Cambria" w:hAnsi="Cambria" w:cs="Times New Roman"/>
        </w:rPr>
        <w:t xml:space="preserve"> </w:t>
      </w:r>
      <w:r w:rsidR="00115C53">
        <w:rPr>
          <w:rFonts w:ascii="Cambria" w:hAnsi="Cambria" w:cs="Times New Roman"/>
        </w:rPr>
        <w:t xml:space="preserve">In his </w:t>
      </w:r>
      <w:r w:rsidR="00115C53" w:rsidRPr="00115C53">
        <w:rPr>
          <w:rFonts w:ascii="Cambria" w:hAnsi="Cambria" w:cs="Times New Roman"/>
          <w:i/>
          <w:iCs/>
        </w:rPr>
        <w:t>Carmen Saeculare</w:t>
      </w:r>
      <w:r w:rsidR="00115C53">
        <w:rPr>
          <w:rFonts w:ascii="Cambria" w:hAnsi="Cambria" w:cs="Times New Roman"/>
        </w:rPr>
        <w:t xml:space="preserve">, Horace situates praise of Augustus within praise of </w:t>
      </w:r>
      <w:r w:rsidR="00401DAC">
        <w:rPr>
          <w:rFonts w:ascii="Cambria" w:hAnsi="Cambria" w:cs="Times New Roman"/>
        </w:rPr>
        <w:t xml:space="preserve">the gods </w:t>
      </w:r>
      <w:r w:rsidR="00115C53">
        <w:rPr>
          <w:rFonts w:ascii="Cambria" w:hAnsi="Cambria" w:cs="Times New Roman"/>
        </w:rPr>
        <w:t>(1-4).</w:t>
      </w:r>
      <w:r w:rsidR="00115C53">
        <w:rPr>
          <w:rStyle w:val="FootnoteReference"/>
          <w:rFonts w:ascii="Cambria" w:hAnsi="Cambria" w:cs="Times New Roman"/>
        </w:rPr>
        <w:footnoteReference w:id="57"/>
      </w:r>
      <w:r w:rsidR="00115C53">
        <w:rPr>
          <w:rFonts w:ascii="Cambria" w:hAnsi="Cambria" w:cs="Times New Roman"/>
        </w:rPr>
        <w:t xml:space="preserve">  Augustus’ dominion is so great that “sea and land acknowledge his hand of power” (</w:t>
      </w:r>
      <w:r w:rsidR="00421A1B">
        <w:rPr>
          <w:rFonts w:ascii="Cambria" w:hAnsi="Cambria" w:cs="Times New Roman"/>
        </w:rPr>
        <w:t>53-54</w:t>
      </w:r>
      <w:r w:rsidR="00115C53">
        <w:rPr>
          <w:rFonts w:ascii="Cambria" w:hAnsi="Cambria" w:cs="Times New Roman"/>
        </w:rPr>
        <w:t>), and “Plenty comes too and brings her horn of abundance” (</w:t>
      </w:r>
      <w:r w:rsidR="00421A1B">
        <w:rPr>
          <w:rFonts w:ascii="Cambria" w:hAnsi="Cambria" w:cs="Times New Roman"/>
        </w:rPr>
        <w:t>59-60</w:t>
      </w:r>
      <w:r w:rsidR="00115C53">
        <w:rPr>
          <w:rFonts w:ascii="Cambria" w:hAnsi="Cambria" w:cs="Times New Roman"/>
        </w:rPr>
        <w:t>).  The image of peaceful, fertile abundance and complete rule over land and sea magnifies the extent of Augustus’ cosmological dominion.</w:t>
      </w:r>
      <w:r w:rsidR="00115C53">
        <w:rPr>
          <w:rStyle w:val="FootnoteReference"/>
          <w:rFonts w:ascii="Cambria" w:hAnsi="Cambria" w:cs="Times New Roman"/>
        </w:rPr>
        <w:footnoteReference w:id="58"/>
      </w:r>
      <w:r w:rsidR="00115C53">
        <w:rPr>
          <w:rFonts w:ascii="Cambria" w:hAnsi="Cambria" w:cs="Times New Roman"/>
        </w:rPr>
        <w:t xml:space="preserve">  In anoth</w:t>
      </w:r>
      <w:r w:rsidR="00401DAC">
        <w:rPr>
          <w:rFonts w:ascii="Cambria" w:hAnsi="Cambria" w:cs="Times New Roman"/>
        </w:rPr>
        <w:t xml:space="preserve">er hymn, he praises </w:t>
      </w:r>
      <w:r w:rsidR="00115C53">
        <w:rPr>
          <w:rFonts w:ascii="Cambria" w:hAnsi="Cambria" w:cs="Times New Roman"/>
        </w:rPr>
        <w:t>Augustus’</w:t>
      </w:r>
      <w:r w:rsidR="00401DAC">
        <w:rPr>
          <w:rFonts w:ascii="Cambria" w:hAnsi="Cambria" w:cs="Times New Roman"/>
        </w:rPr>
        <w:t xml:space="preserve"> reign</w:t>
      </w:r>
      <w:r w:rsidR="00115C53">
        <w:rPr>
          <w:rFonts w:ascii="Cambria" w:hAnsi="Cambria" w:cs="Times New Roman"/>
        </w:rPr>
        <w:t>, for the emperor has given peace to his subjects (4.5.33-36) and agricultural productivity (4.5.37-41).  Throughout his hymns one find</w:t>
      </w:r>
      <w:r w:rsidR="00DE2599">
        <w:rPr>
          <w:rFonts w:ascii="Cambria" w:hAnsi="Cambria" w:cs="Times New Roman"/>
        </w:rPr>
        <w:t>s the frequent refrain</w:t>
      </w:r>
      <w:r w:rsidR="00115C53">
        <w:rPr>
          <w:rFonts w:ascii="Cambria" w:hAnsi="Cambria" w:cs="Times New Roman"/>
        </w:rPr>
        <w:t xml:space="preserve"> that Augustus is the ear</w:t>
      </w:r>
      <w:r w:rsidR="00DE2599">
        <w:rPr>
          <w:rFonts w:ascii="Cambria" w:hAnsi="Cambria" w:cs="Times New Roman"/>
        </w:rPr>
        <w:t xml:space="preserve">thly ruler who </w:t>
      </w:r>
      <w:r w:rsidR="00115C53">
        <w:rPr>
          <w:rFonts w:ascii="Cambria" w:hAnsi="Cambria" w:cs="Times New Roman"/>
        </w:rPr>
        <w:t>rules in behalf of the heavenly Zeus (1.12.50-60).  Jupiter reigns in heaven, and so similarly Augustus reigns over the empire (3.5.1-6).</w:t>
      </w:r>
      <w:r w:rsidR="00115C53">
        <w:rPr>
          <w:rStyle w:val="FootnoteReference"/>
          <w:rFonts w:ascii="Cambria" w:hAnsi="Cambria" w:cs="Times New Roman"/>
        </w:rPr>
        <w:footnoteReference w:id="59"/>
      </w:r>
      <w:r w:rsidR="00115C53">
        <w:rPr>
          <w:rFonts w:ascii="Cambria" w:hAnsi="Cambria" w:cs="Times New Roman"/>
        </w:rPr>
        <w:t xml:space="preserve">  </w:t>
      </w:r>
    </w:p>
    <w:p w14:paraId="5E8E6C6D" w14:textId="33BB2792" w:rsidR="00115C53" w:rsidRDefault="00115C53" w:rsidP="00115C53">
      <w:pPr>
        <w:spacing w:before="100" w:beforeAutospacing="1" w:after="100" w:afterAutospacing="1" w:line="480" w:lineRule="auto"/>
        <w:jc w:val="both"/>
        <w:rPr>
          <w:rFonts w:ascii="Cambria" w:hAnsi="Cambria" w:cs="Times New Roman"/>
        </w:rPr>
      </w:pPr>
      <w:r>
        <w:rPr>
          <w:rFonts w:ascii="Cambria" w:hAnsi="Cambria" w:cs="Times New Roman"/>
        </w:rPr>
        <w:tab/>
      </w:r>
      <w:r w:rsidR="00F20462">
        <w:rPr>
          <w:rFonts w:ascii="Cambria" w:hAnsi="Cambria" w:cs="Times New Roman"/>
        </w:rPr>
        <w:t xml:space="preserve">Many of the preceding motifs coalesce in </w:t>
      </w:r>
      <w:r>
        <w:rPr>
          <w:rFonts w:ascii="Cambria" w:hAnsi="Cambria" w:cs="Times New Roman"/>
        </w:rPr>
        <w:t xml:space="preserve">Pliny’s </w:t>
      </w:r>
      <w:r w:rsidRPr="00115C53">
        <w:rPr>
          <w:rFonts w:ascii="Cambria" w:hAnsi="Cambria" w:cs="Times New Roman"/>
          <w:i/>
          <w:iCs/>
        </w:rPr>
        <w:t>Panegyricus</w:t>
      </w:r>
      <w:r w:rsidR="00F20462">
        <w:rPr>
          <w:rFonts w:ascii="Cambria" w:hAnsi="Cambria" w:cs="Times New Roman"/>
        </w:rPr>
        <w:t xml:space="preserve">, </w:t>
      </w:r>
      <w:r w:rsidR="00401DAC">
        <w:rPr>
          <w:rFonts w:ascii="Cambria" w:hAnsi="Cambria" w:cs="Times New Roman"/>
        </w:rPr>
        <w:t>a</w:t>
      </w:r>
      <w:r w:rsidR="00F20462">
        <w:rPr>
          <w:rFonts w:ascii="Cambria" w:hAnsi="Cambria" w:cs="Times New Roman"/>
        </w:rPr>
        <w:t xml:space="preserve"> three-day performance praising</w:t>
      </w:r>
      <w:r>
        <w:rPr>
          <w:rFonts w:ascii="Cambria" w:hAnsi="Cambria" w:cs="Times New Roman"/>
        </w:rPr>
        <w:t xml:space="preserve"> Trajan as </w:t>
      </w:r>
      <w:r w:rsidR="00F23817">
        <w:rPr>
          <w:rFonts w:ascii="Cambria" w:hAnsi="Cambria" w:cs="Times New Roman"/>
        </w:rPr>
        <w:t xml:space="preserve">an </w:t>
      </w:r>
      <w:r>
        <w:rPr>
          <w:rFonts w:ascii="Cambria" w:hAnsi="Cambria" w:cs="Times New Roman"/>
        </w:rPr>
        <w:t xml:space="preserve">ideal ruler </w:t>
      </w:r>
      <w:r w:rsidRPr="00115C53">
        <w:rPr>
          <w:rFonts w:ascii="Cambria" w:hAnsi="Cambria" w:cs="Times New Roman"/>
        </w:rPr>
        <w:t>(</w:t>
      </w:r>
      <w:r w:rsidR="00BE735C">
        <w:rPr>
          <w:i/>
          <w:iCs/>
        </w:rPr>
        <w:t>Ep</w:t>
      </w:r>
      <w:r w:rsidR="00BE735C">
        <w:rPr>
          <w:iCs/>
        </w:rPr>
        <w:t>.</w:t>
      </w:r>
      <w:r w:rsidRPr="00115C53">
        <w:t xml:space="preserve"> 3.18</w:t>
      </w:r>
      <w:r w:rsidRPr="00115C53">
        <w:rPr>
          <w:rFonts w:ascii="Cambria" w:hAnsi="Cambria" w:cs="Times New Roman"/>
        </w:rPr>
        <w:t>)</w:t>
      </w:r>
      <w:r>
        <w:rPr>
          <w:rFonts w:ascii="Cambria" w:hAnsi="Cambria" w:cs="Times New Roman"/>
        </w:rPr>
        <w:t>.</w:t>
      </w:r>
      <w:r>
        <w:rPr>
          <w:rStyle w:val="FootnoteReference"/>
          <w:rFonts w:ascii="Cambria" w:hAnsi="Cambria" w:cs="Times New Roman"/>
        </w:rPr>
        <w:footnoteReference w:id="60"/>
      </w:r>
      <w:r>
        <w:rPr>
          <w:rFonts w:ascii="Cambria" w:hAnsi="Cambria" w:cs="Times New Roman"/>
        </w:rPr>
        <w:t xml:space="preserve">  First, Pliny praises Trajan for though he is a man (2.3-7), he was elected by Jupiter, equal with the gods</w:t>
      </w:r>
      <w:r w:rsidR="00401DAC">
        <w:rPr>
          <w:rFonts w:ascii="Cambria" w:hAnsi="Cambria" w:cs="Times New Roman"/>
        </w:rPr>
        <w:t xml:space="preserve"> in </w:t>
      </w:r>
      <w:r>
        <w:rPr>
          <w:rFonts w:ascii="Cambria" w:hAnsi="Cambria" w:cs="Times New Roman"/>
        </w:rPr>
        <w:t xml:space="preserve">virtue, and rules on behalf of the gods (1.3-6; 5.2-3; 56.3). The gods insure his health and safety as long as the emperor does the same for his subjects (67.5; 68.1-3). Second, the ruler’s </w:t>
      </w:r>
      <w:r w:rsidR="00DE2599">
        <w:rPr>
          <w:rFonts w:ascii="Cambria" w:hAnsi="Cambria" w:cs="Times New Roman"/>
        </w:rPr>
        <w:t>primary</w:t>
      </w:r>
      <w:r>
        <w:rPr>
          <w:rFonts w:ascii="Cambria" w:hAnsi="Cambria" w:cs="Times New Roman"/>
        </w:rPr>
        <w:t xml:space="preserve"> task and the </w:t>
      </w:r>
      <w:r w:rsidR="00401DAC">
        <w:rPr>
          <w:rFonts w:ascii="Cambria" w:hAnsi="Cambria" w:cs="Times New Roman"/>
        </w:rPr>
        <w:t xml:space="preserve">reason for bestowing praise </w:t>
      </w:r>
      <w:r>
        <w:rPr>
          <w:rFonts w:ascii="Cambria" w:hAnsi="Cambria" w:cs="Times New Roman"/>
        </w:rPr>
        <w:t>upon him are</w:t>
      </w:r>
      <w:r w:rsidR="00401DAC">
        <w:rPr>
          <w:rFonts w:ascii="Cambria" w:hAnsi="Cambria" w:cs="Times New Roman"/>
        </w:rPr>
        <w:t xml:space="preserve"> his gifts </w:t>
      </w:r>
      <w:r>
        <w:rPr>
          <w:rFonts w:ascii="Cambria" w:hAnsi="Cambria" w:cs="Times New Roman"/>
        </w:rPr>
        <w:t>to his subjects (2.8; 6.3-4; 50; 52.6-7).</w:t>
      </w:r>
      <w:r w:rsidR="005E332C">
        <w:rPr>
          <w:rStyle w:val="FootnoteReference"/>
          <w:rFonts w:ascii="Cambria" w:hAnsi="Cambria" w:cs="Times New Roman"/>
        </w:rPr>
        <w:footnoteReference w:id="61"/>
      </w:r>
      <w:r>
        <w:rPr>
          <w:rFonts w:ascii="Cambria" w:hAnsi="Cambria" w:cs="Times New Roman"/>
        </w:rPr>
        <w:t xml:space="preserve"> </w:t>
      </w:r>
      <w:r w:rsidR="005E332C">
        <w:rPr>
          <w:rFonts w:ascii="Cambria" w:hAnsi="Cambria" w:cs="Times New Roman"/>
        </w:rPr>
        <w:t xml:space="preserve"> </w:t>
      </w:r>
      <w:r>
        <w:rPr>
          <w:rFonts w:ascii="Cambria" w:hAnsi="Cambria" w:cs="Times New Roman"/>
        </w:rPr>
        <w:t>In addition to securing peace for the empire, his rule ushers in a season of agricultural fertility (31-32). Third, Trajan powerfully rules over the entire world.  His very “word or gesture of command [can] rule land and sea and determine peace or war” (4.4).  He brings an end to wars and dissension thereby ushering in a time of peace (5.6-9</w:t>
      </w:r>
      <w:r w:rsidR="00721326">
        <w:rPr>
          <w:rFonts w:ascii="Cambria" w:hAnsi="Cambria" w:cs="Times New Roman"/>
        </w:rPr>
        <w:t>; 80.3</w:t>
      </w:r>
      <w:r>
        <w:rPr>
          <w:rFonts w:ascii="Cambria" w:hAnsi="Cambria" w:cs="Times New Roman"/>
        </w:rPr>
        <w:t xml:space="preserve">). </w:t>
      </w:r>
    </w:p>
    <w:p w14:paraId="496AA7C5" w14:textId="6DB55E56" w:rsidR="00115C53" w:rsidRPr="006C6E9A" w:rsidRDefault="00260097" w:rsidP="00115C53">
      <w:pPr>
        <w:spacing w:before="100" w:beforeAutospacing="1" w:after="100" w:afterAutospacing="1" w:line="480" w:lineRule="auto"/>
        <w:jc w:val="center"/>
        <w:rPr>
          <w:rFonts w:ascii="Cambria" w:hAnsi="Cambria" w:cs="Times New Roman"/>
          <w:i/>
          <w:u w:val="single"/>
        </w:rPr>
      </w:pPr>
      <w:r w:rsidRPr="006C6E9A">
        <w:rPr>
          <w:rFonts w:ascii="Cambria" w:hAnsi="Cambria" w:cs="Times New Roman"/>
          <w:i/>
          <w:u w:val="single"/>
        </w:rPr>
        <w:t xml:space="preserve">d. </w:t>
      </w:r>
      <w:r w:rsidR="00115C53" w:rsidRPr="006C6E9A">
        <w:rPr>
          <w:rFonts w:ascii="Cambria" w:hAnsi="Cambria" w:cs="Times New Roman"/>
          <w:i/>
          <w:u w:val="single"/>
        </w:rPr>
        <w:t>Hymns</w:t>
      </w:r>
      <w:r w:rsidR="00BE735C" w:rsidRPr="006C6E9A">
        <w:rPr>
          <w:rFonts w:ascii="Cambria" w:hAnsi="Cambria" w:cs="Times New Roman"/>
          <w:i/>
          <w:u w:val="single"/>
        </w:rPr>
        <w:t xml:space="preserve"> and Prophetic Praises</w:t>
      </w:r>
      <w:r w:rsidR="00115C53" w:rsidRPr="006C6E9A">
        <w:rPr>
          <w:rFonts w:ascii="Cambria" w:hAnsi="Cambria" w:cs="Times New Roman"/>
          <w:i/>
          <w:u w:val="single"/>
        </w:rPr>
        <w:t xml:space="preserve"> to the Davidic King in Israel’s Scriptures</w:t>
      </w:r>
    </w:p>
    <w:p w14:paraId="6CD78DD6" w14:textId="3DC2D3AD" w:rsidR="00115C53" w:rsidRDefault="00184CC8" w:rsidP="00B35F00">
      <w:pPr>
        <w:spacing w:before="100" w:beforeAutospacing="1" w:after="100" w:afterAutospacing="1" w:line="480" w:lineRule="auto"/>
        <w:jc w:val="both"/>
        <w:rPr>
          <w:rFonts w:ascii="Cambria" w:hAnsi="Cambria" w:cs="Times New Roman"/>
        </w:rPr>
      </w:pPr>
      <w:r>
        <w:rPr>
          <w:rFonts w:ascii="Cambria" w:hAnsi="Cambria" w:cs="Times New Roman"/>
        </w:rPr>
        <w:t xml:space="preserve">For my argument it is </w:t>
      </w:r>
      <w:r w:rsidR="00BA4D6E">
        <w:rPr>
          <w:rFonts w:ascii="Cambria" w:hAnsi="Cambria" w:cs="Times New Roman"/>
        </w:rPr>
        <w:t xml:space="preserve">also necessary </w:t>
      </w:r>
      <w:r>
        <w:rPr>
          <w:rFonts w:ascii="Cambria" w:hAnsi="Cambria" w:cs="Times New Roman"/>
        </w:rPr>
        <w:t>to</w:t>
      </w:r>
      <w:r w:rsidR="00BA4D6E">
        <w:rPr>
          <w:rFonts w:ascii="Cambria" w:hAnsi="Cambria" w:cs="Times New Roman"/>
        </w:rPr>
        <w:t xml:space="preserve"> examine</w:t>
      </w:r>
      <w:r>
        <w:rPr>
          <w:rFonts w:ascii="Cambria" w:hAnsi="Cambria" w:cs="Times New Roman"/>
        </w:rPr>
        <w:t xml:space="preserve"> the role of the </w:t>
      </w:r>
      <w:r w:rsidR="00115C53">
        <w:rPr>
          <w:rFonts w:ascii="Cambria" w:hAnsi="Cambria" w:cs="Times New Roman"/>
        </w:rPr>
        <w:t xml:space="preserve">hymns </w:t>
      </w:r>
      <w:r w:rsidR="00FE12B2">
        <w:rPr>
          <w:rFonts w:ascii="Cambria" w:hAnsi="Cambria" w:cs="Times New Roman"/>
        </w:rPr>
        <w:t xml:space="preserve">and </w:t>
      </w:r>
      <w:r w:rsidR="00115C53">
        <w:rPr>
          <w:rFonts w:ascii="Cambria" w:hAnsi="Cambria" w:cs="Times New Roman"/>
        </w:rPr>
        <w:t xml:space="preserve">poems </w:t>
      </w:r>
      <w:r w:rsidR="00260097">
        <w:rPr>
          <w:rFonts w:ascii="Cambria" w:hAnsi="Cambria" w:cs="Times New Roman"/>
        </w:rPr>
        <w:t>composed</w:t>
      </w:r>
      <w:r w:rsidR="00115C53">
        <w:rPr>
          <w:rFonts w:ascii="Cambria" w:hAnsi="Cambria" w:cs="Times New Roman"/>
        </w:rPr>
        <w:t xml:space="preserve"> in honor </w:t>
      </w:r>
      <w:r w:rsidR="00260097">
        <w:rPr>
          <w:rFonts w:ascii="Cambria" w:hAnsi="Cambria" w:cs="Times New Roman"/>
        </w:rPr>
        <w:t xml:space="preserve">of </w:t>
      </w:r>
      <w:r>
        <w:rPr>
          <w:rFonts w:ascii="Cambria" w:hAnsi="Cambria" w:cs="Times New Roman"/>
        </w:rPr>
        <w:t>King</w:t>
      </w:r>
      <w:r w:rsidR="00115C53">
        <w:rPr>
          <w:rFonts w:ascii="Cambria" w:hAnsi="Cambria" w:cs="Times New Roman"/>
        </w:rPr>
        <w:t xml:space="preserve"> David </w:t>
      </w:r>
      <w:r w:rsidR="00260097">
        <w:rPr>
          <w:rFonts w:ascii="Cambria" w:hAnsi="Cambria" w:cs="Times New Roman"/>
        </w:rPr>
        <w:t>or a</w:t>
      </w:r>
      <w:r>
        <w:rPr>
          <w:rFonts w:ascii="Cambria" w:hAnsi="Cambria" w:cs="Times New Roman"/>
        </w:rPr>
        <w:t xml:space="preserve"> coming ruler, for the Colossian Christ-hymn evidences some</w:t>
      </w:r>
      <w:r w:rsidR="000E6B27">
        <w:rPr>
          <w:rFonts w:ascii="Cambria" w:hAnsi="Cambria" w:cs="Times New Roman"/>
        </w:rPr>
        <w:t xml:space="preserve"> of the same vocabulary</w:t>
      </w:r>
      <w:r w:rsidR="003A0C32">
        <w:rPr>
          <w:rFonts w:ascii="Cambria" w:hAnsi="Cambria" w:cs="Times New Roman"/>
        </w:rPr>
        <w:t>.</w:t>
      </w:r>
      <w:r w:rsidR="00260097">
        <w:rPr>
          <w:rFonts w:ascii="Cambria" w:hAnsi="Cambria" w:cs="Times New Roman"/>
        </w:rPr>
        <w:t xml:space="preserve"> </w:t>
      </w:r>
      <w:r w:rsidR="00115C53">
        <w:rPr>
          <w:rFonts w:ascii="Cambria" w:hAnsi="Cambria" w:cs="Times New Roman"/>
        </w:rPr>
        <w:t xml:space="preserve"> The LXX Psalms in particular testify to the practice of singing praises</w:t>
      </w:r>
      <w:r w:rsidR="000913EC">
        <w:rPr>
          <w:rFonts w:ascii="Cambria" w:hAnsi="Cambria" w:cs="Times New Roman"/>
        </w:rPr>
        <w:t xml:space="preserve">, uttering prayers, and composing oracles in honor </w:t>
      </w:r>
      <w:r w:rsidR="00115C53">
        <w:rPr>
          <w:rFonts w:ascii="Cambria" w:hAnsi="Cambria" w:cs="Times New Roman"/>
        </w:rPr>
        <w:t>o</w:t>
      </w:r>
      <w:r w:rsidR="000913EC">
        <w:rPr>
          <w:rFonts w:ascii="Cambria" w:hAnsi="Cambria" w:cs="Times New Roman"/>
        </w:rPr>
        <w:t>f</w:t>
      </w:r>
      <w:r w:rsidR="00115C53">
        <w:rPr>
          <w:rFonts w:ascii="Cambria" w:hAnsi="Cambria" w:cs="Times New Roman"/>
        </w:rPr>
        <w:t xml:space="preserve"> Israel’s kings.</w:t>
      </w:r>
      <w:r w:rsidR="00B35F00">
        <w:rPr>
          <w:rStyle w:val="FootnoteReference"/>
          <w:rFonts w:ascii="Cambria" w:hAnsi="Cambria" w:cs="Times New Roman"/>
        </w:rPr>
        <w:footnoteReference w:id="62"/>
      </w:r>
      <w:r w:rsidR="00115C53">
        <w:rPr>
          <w:rFonts w:ascii="Cambria" w:hAnsi="Cambria" w:cs="Times New Roman"/>
        </w:rPr>
        <w:t xml:space="preserve">  Throughout the Psalms the </w:t>
      </w:r>
      <w:r w:rsidR="00260097">
        <w:rPr>
          <w:rFonts w:ascii="Cambria" w:hAnsi="Cambria" w:cs="Times New Roman"/>
        </w:rPr>
        <w:t>king</w:t>
      </w:r>
      <w:r w:rsidR="00115C53">
        <w:rPr>
          <w:rFonts w:ascii="Cambria" w:hAnsi="Cambria" w:cs="Times New Roman"/>
        </w:rPr>
        <w:t xml:space="preserve"> is praised with language</w:t>
      </w:r>
      <w:r w:rsidR="00BA4D6E">
        <w:rPr>
          <w:rFonts w:ascii="Cambria" w:hAnsi="Cambria" w:cs="Times New Roman"/>
        </w:rPr>
        <w:t xml:space="preserve"> reserved for God given that the king </w:t>
      </w:r>
      <w:r w:rsidR="00115C53" w:rsidRPr="00BA4D6E">
        <w:rPr>
          <w:rFonts w:ascii="Cambria" w:hAnsi="Cambria" w:cs="Times New Roman"/>
          <w:iCs/>
        </w:rPr>
        <w:t>has been promised</w:t>
      </w:r>
      <w:r w:rsidR="00115C53">
        <w:rPr>
          <w:rFonts w:ascii="Cambria" w:hAnsi="Cambria" w:cs="Times New Roman"/>
        </w:rPr>
        <w:t xml:space="preserve"> to share in the Lord’s </w:t>
      </w:r>
      <w:r w:rsidR="00401DAC">
        <w:rPr>
          <w:rFonts w:ascii="Cambria" w:hAnsi="Cambria" w:cs="Times New Roman"/>
        </w:rPr>
        <w:t>rule</w:t>
      </w:r>
      <w:r w:rsidR="00BA4D6E">
        <w:rPr>
          <w:rFonts w:ascii="Cambria" w:hAnsi="Cambria" w:cs="Times New Roman"/>
        </w:rPr>
        <w:t xml:space="preserve"> (e.g., </w:t>
      </w:r>
      <w:r w:rsidR="009919C7">
        <w:rPr>
          <w:rFonts w:ascii="Cambria" w:hAnsi="Cambria" w:cs="Times New Roman"/>
        </w:rPr>
        <w:t>“I have been established by him as king on Zion his holy mountain,</w:t>
      </w:r>
      <w:r w:rsidR="00401DAC">
        <w:rPr>
          <w:rFonts w:ascii="Cambria" w:hAnsi="Cambria" w:cs="Times New Roman"/>
        </w:rPr>
        <w:t xml:space="preserve">”; </w:t>
      </w:r>
      <w:r w:rsidR="009919C7">
        <w:rPr>
          <w:rFonts w:ascii="Cambria" w:hAnsi="Cambria" w:cs="Times New Roman"/>
        </w:rPr>
        <w:t xml:space="preserve">“Ask me and I will give the nations as your </w:t>
      </w:r>
      <w:r w:rsidR="00401DAC">
        <w:rPr>
          <w:rFonts w:ascii="Cambria" w:hAnsi="Cambria" w:cs="Times New Roman"/>
        </w:rPr>
        <w:t>heritage</w:t>
      </w:r>
      <w:r w:rsidR="009919C7">
        <w:rPr>
          <w:rFonts w:ascii="Cambria" w:hAnsi="Cambria" w:cs="Times New Roman"/>
        </w:rPr>
        <w:t>, and the ends of the earth as your possession,”</w:t>
      </w:r>
      <w:r w:rsidR="00260097">
        <w:rPr>
          <w:rFonts w:ascii="Cambria" w:hAnsi="Cambria" w:cs="Times New Roman"/>
        </w:rPr>
        <w:t xml:space="preserve"> Ps. 2</w:t>
      </w:r>
      <w:r w:rsidR="009919C7">
        <w:rPr>
          <w:rFonts w:ascii="Cambria" w:hAnsi="Cambria" w:cs="Times New Roman"/>
        </w:rPr>
        <w:t>:6, 8</w:t>
      </w:r>
      <w:r w:rsidR="00260097">
        <w:rPr>
          <w:rFonts w:ascii="Cambria" w:hAnsi="Cambria" w:cs="Times New Roman"/>
        </w:rPr>
        <w:t>)</w:t>
      </w:r>
      <w:r w:rsidR="00401DAC">
        <w:rPr>
          <w:rFonts w:ascii="Cambria" w:hAnsi="Cambria" w:cs="Times New Roman"/>
        </w:rPr>
        <w:t>.</w:t>
      </w:r>
      <w:r w:rsidR="00374296">
        <w:rPr>
          <w:rStyle w:val="FootnoteReference"/>
          <w:rFonts w:ascii="Cambria" w:hAnsi="Cambria" w:cs="Times New Roman"/>
        </w:rPr>
        <w:footnoteReference w:id="63"/>
      </w:r>
      <w:r w:rsidR="00401DAC">
        <w:rPr>
          <w:rFonts w:ascii="Cambria" w:hAnsi="Cambria" w:cs="Times New Roman"/>
        </w:rPr>
        <w:t xml:space="preserve"> </w:t>
      </w:r>
      <w:r w:rsidR="00115C53">
        <w:rPr>
          <w:rFonts w:ascii="Cambria" w:hAnsi="Cambria" w:cs="Times New Roman"/>
        </w:rPr>
        <w:t xml:space="preserve">The king is </w:t>
      </w:r>
      <w:r w:rsidR="00401DAC">
        <w:rPr>
          <w:rFonts w:ascii="Cambria" w:hAnsi="Cambria" w:cs="Times New Roman"/>
        </w:rPr>
        <w:t xml:space="preserve">God’s vicegerent </w:t>
      </w:r>
      <w:r w:rsidR="003A0C32">
        <w:rPr>
          <w:rFonts w:ascii="Cambria" w:hAnsi="Cambria" w:cs="Times New Roman"/>
        </w:rPr>
        <w:t>who rules on the Lord</w:t>
      </w:r>
      <w:r w:rsidR="00115C53">
        <w:rPr>
          <w:rFonts w:ascii="Cambria" w:hAnsi="Cambria" w:cs="Times New Roman"/>
        </w:rPr>
        <w:t>’</w:t>
      </w:r>
      <w:r w:rsidR="00401DAC">
        <w:rPr>
          <w:rFonts w:ascii="Cambria" w:hAnsi="Cambria" w:cs="Times New Roman"/>
        </w:rPr>
        <w:t xml:space="preserve">s behalf, </w:t>
      </w:r>
      <w:r w:rsidR="00BA4D6E">
        <w:rPr>
          <w:rFonts w:ascii="Cambria" w:hAnsi="Cambria" w:cs="Times New Roman"/>
        </w:rPr>
        <w:t>provides</w:t>
      </w:r>
      <w:r w:rsidR="00401DAC">
        <w:rPr>
          <w:rFonts w:ascii="Cambria" w:hAnsi="Cambria" w:cs="Times New Roman"/>
        </w:rPr>
        <w:t xml:space="preserve"> </w:t>
      </w:r>
      <w:r w:rsidR="00BA4D6E">
        <w:rPr>
          <w:rFonts w:ascii="Cambria" w:hAnsi="Cambria" w:cs="Times New Roman"/>
        </w:rPr>
        <w:t xml:space="preserve">deliverance for his people, and whose </w:t>
      </w:r>
      <w:r w:rsidR="00115C53">
        <w:rPr>
          <w:rFonts w:ascii="Cambria" w:hAnsi="Cambria" w:cs="Times New Roman"/>
        </w:rPr>
        <w:t xml:space="preserve">worldwide dominion parallels </w:t>
      </w:r>
      <w:r w:rsidR="00BE735C">
        <w:rPr>
          <w:rFonts w:ascii="Cambria" w:hAnsi="Cambria" w:cs="Times New Roman"/>
        </w:rPr>
        <w:t>God’s dominion</w:t>
      </w:r>
      <w:r w:rsidR="00115C53">
        <w:rPr>
          <w:rFonts w:ascii="Cambria" w:hAnsi="Cambria" w:cs="Times New Roman"/>
        </w:rPr>
        <w:t xml:space="preserve">. </w:t>
      </w:r>
      <w:r w:rsidR="00CD22E5">
        <w:rPr>
          <w:rFonts w:ascii="Cambria" w:hAnsi="Cambria" w:cs="Times New Roman"/>
        </w:rPr>
        <w:t>T</w:t>
      </w:r>
      <w:r w:rsidR="00401DAC">
        <w:rPr>
          <w:rFonts w:ascii="Cambria" w:hAnsi="Cambria" w:cs="Times New Roman"/>
        </w:rPr>
        <w:t>he king is</w:t>
      </w:r>
      <w:r w:rsidR="003A0C32">
        <w:rPr>
          <w:rFonts w:ascii="Cambria" w:hAnsi="Cambria" w:cs="Times New Roman"/>
        </w:rPr>
        <w:t xml:space="preserve"> </w:t>
      </w:r>
      <w:r w:rsidR="00CD22E5">
        <w:rPr>
          <w:rFonts w:ascii="Cambria" w:hAnsi="Cambria" w:cs="Times New Roman"/>
        </w:rPr>
        <w:t xml:space="preserve">thereby </w:t>
      </w:r>
      <w:r w:rsidR="003A0C32">
        <w:rPr>
          <w:rFonts w:ascii="Cambria" w:hAnsi="Cambria" w:cs="Times New Roman"/>
        </w:rPr>
        <w:t>worthy of</w:t>
      </w:r>
      <w:r w:rsidR="00260097">
        <w:rPr>
          <w:rFonts w:ascii="Cambria" w:hAnsi="Cambria" w:cs="Times New Roman"/>
        </w:rPr>
        <w:t xml:space="preserve"> exalted</w:t>
      </w:r>
      <w:r w:rsidR="00BA4D6E">
        <w:rPr>
          <w:rFonts w:ascii="Cambria" w:hAnsi="Cambria" w:cs="Times New Roman"/>
        </w:rPr>
        <w:t xml:space="preserve"> honorifics</w:t>
      </w:r>
      <w:r w:rsidR="00115C53">
        <w:rPr>
          <w:rFonts w:ascii="Cambria" w:hAnsi="Cambria" w:cs="Times New Roman"/>
        </w:rPr>
        <w:t xml:space="preserve"> </w:t>
      </w:r>
      <w:r w:rsidR="00BE735C">
        <w:rPr>
          <w:rFonts w:ascii="Cambria" w:hAnsi="Cambria" w:cs="Times New Roman"/>
        </w:rPr>
        <w:t>and</w:t>
      </w:r>
      <w:r w:rsidR="00BA4D6E">
        <w:rPr>
          <w:rFonts w:ascii="Cambria" w:hAnsi="Cambria" w:cs="Times New Roman"/>
        </w:rPr>
        <w:t xml:space="preserve"> hymnic</w:t>
      </w:r>
      <w:r w:rsidR="00BE735C">
        <w:rPr>
          <w:rFonts w:ascii="Cambria" w:hAnsi="Cambria" w:cs="Times New Roman"/>
        </w:rPr>
        <w:t xml:space="preserve"> </w:t>
      </w:r>
      <w:r w:rsidR="00BA4D6E">
        <w:rPr>
          <w:rFonts w:ascii="Cambria" w:hAnsi="Cambria" w:cs="Times New Roman"/>
        </w:rPr>
        <w:t>honors</w:t>
      </w:r>
      <w:r w:rsidR="00115C53">
        <w:rPr>
          <w:rFonts w:ascii="Cambria" w:hAnsi="Cambria" w:cs="Times New Roman"/>
        </w:rPr>
        <w:t>.</w:t>
      </w:r>
      <w:r w:rsidR="00260097">
        <w:rPr>
          <w:rFonts w:ascii="Cambria" w:hAnsi="Cambria" w:cs="Times New Roman"/>
        </w:rPr>
        <w:t xml:space="preserve">  </w:t>
      </w:r>
      <w:r w:rsidR="00CD22E5">
        <w:rPr>
          <w:rFonts w:ascii="Cambria" w:hAnsi="Cambria" w:cs="Times New Roman"/>
        </w:rPr>
        <w:t>As was the case with Hellenistic/Roman royal propaganda, a central component of Israelite royal ideology is the godlike depiction and status of the king.</w:t>
      </w:r>
    </w:p>
    <w:p w14:paraId="18051C3F" w14:textId="1DD3EE4E" w:rsidR="00B35F00" w:rsidRDefault="00401DAC"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F</w:t>
      </w:r>
      <w:r w:rsidR="00115C53">
        <w:rPr>
          <w:rFonts w:ascii="Cambria" w:hAnsi="Cambria" w:cs="Times New Roman"/>
        </w:rPr>
        <w:t>or example, LXX Ps. 44</w:t>
      </w:r>
      <w:r w:rsidR="000913EC">
        <w:rPr>
          <w:rFonts w:ascii="Cambria" w:hAnsi="Cambria" w:cs="Times New Roman"/>
        </w:rPr>
        <w:t xml:space="preserve">, the only hymn in the Psalter that </w:t>
      </w:r>
      <w:r w:rsidR="000913EC" w:rsidRPr="000913EC">
        <w:rPr>
          <w:rFonts w:ascii="Cambria" w:hAnsi="Cambria" w:cs="Times New Roman"/>
          <w:i/>
          <w:iCs/>
        </w:rPr>
        <w:t>directly addresses the king</w:t>
      </w:r>
      <w:r w:rsidR="000913EC">
        <w:rPr>
          <w:rFonts w:ascii="Cambria" w:hAnsi="Cambria" w:cs="Times New Roman"/>
        </w:rPr>
        <w:t>,</w:t>
      </w:r>
      <w:r w:rsidR="00115C53">
        <w:rPr>
          <w:rFonts w:ascii="Cambria" w:hAnsi="Cambria" w:cs="Times New Roman"/>
        </w:rPr>
        <w:t xml:space="preserve"> begins: “out of my heart erupts a good song (</w:t>
      </w:r>
      <w:r w:rsidR="00115C53">
        <w:rPr>
          <w:rFonts w:ascii="Gentium Plus" w:hAnsi="Gentium Plus" w:cs="Times New Roman"/>
          <w:lang w:val="el-GR"/>
        </w:rPr>
        <w:t>λόγον ἀγαθόν</w:t>
      </w:r>
      <w:r w:rsidR="00115C53">
        <w:rPr>
          <w:rFonts w:ascii="Cambria" w:hAnsi="Cambria" w:cs="Times New Roman"/>
        </w:rPr>
        <w:t>), I speak my works to the king (</w:t>
      </w:r>
      <w:r w:rsidR="00115C53">
        <w:rPr>
          <w:rFonts w:ascii="Gentium Plus" w:hAnsi="Gentium Plus" w:cs="Times New Roman"/>
          <w:lang w:val="el-GR"/>
        </w:rPr>
        <w:t>τῷ βασιλεῖ</w:t>
      </w:r>
      <w:r w:rsidR="00115C53">
        <w:rPr>
          <w:rFonts w:ascii="Cambria" w:hAnsi="Cambria" w:cs="Times New Roman"/>
        </w:rPr>
        <w:t>)” (LXX Ps. 44:2a).</w:t>
      </w:r>
      <w:r w:rsidR="000E6B27">
        <w:rPr>
          <w:rFonts w:ascii="Cambria" w:hAnsi="Cambria" w:cs="Times New Roman"/>
        </w:rPr>
        <w:t xml:space="preserve"> It is</w:t>
      </w:r>
      <w:r w:rsidR="00115C53">
        <w:rPr>
          <w:rFonts w:ascii="Cambria" w:hAnsi="Cambria" w:cs="Times New Roman"/>
        </w:rPr>
        <w:t xml:space="preserve"> </w:t>
      </w:r>
      <w:r w:rsidR="000E6B27">
        <w:rPr>
          <w:rFonts w:ascii="Cambria" w:hAnsi="Cambria" w:cs="Times New Roman"/>
        </w:rPr>
        <w:t>r</w:t>
      </w:r>
      <w:r w:rsidR="00115C53">
        <w:rPr>
          <w:rFonts w:ascii="Cambria" w:hAnsi="Cambria" w:cs="Times New Roman"/>
        </w:rPr>
        <w:t>emarkable that the psalmist addresses the king as God: “your throne, O God, is forever and ever” (</w:t>
      </w:r>
      <w:r w:rsidR="00115C53">
        <w:rPr>
          <w:rFonts w:ascii="Gentium Plus" w:hAnsi="Gentium Plus" w:cs="Times New Roman"/>
          <w:lang w:val="el-GR"/>
        </w:rPr>
        <w:t>ὁ θρόνος, ὁ θεός, εἰς τὸν αἰῶνα τοῦ αἰῶνος</w:t>
      </w:r>
      <w:r w:rsidR="00115C53">
        <w:rPr>
          <w:rFonts w:ascii="Cambria" w:hAnsi="Cambria" w:cs="Times New Roman"/>
        </w:rPr>
        <w:t>, v. 7</w:t>
      </w:r>
      <w:r w:rsidR="00260097">
        <w:rPr>
          <w:rFonts w:ascii="Cambria" w:hAnsi="Cambria" w:cs="Times New Roman"/>
        </w:rPr>
        <w:t>; cf. Heb. 1:8</w:t>
      </w:r>
      <w:r w:rsidR="00115C53">
        <w:rPr>
          <w:rFonts w:ascii="Cambria" w:hAnsi="Cambria" w:cs="Times New Roman"/>
        </w:rPr>
        <w:t>).</w:t>
      </w:r>
      <w:r w:rsidR="00260097">
        <w:rPr>
          <w:rStyle w:val="FootnoteReference"/>
          <w:rFonts w:ascii="Cambria" w:hAnsi="Cambria" w:cs="Times New Roman"/>
        </w:rPr>
        <w:footnoteReference w:id="64"/>
      </w:r>
      <w:r w:rsidR="00115C53">
        <w:rPr>
          <w:rFonts w:ascii="Cambria" w:hAnsi="Cambria" w:cs="Times New Roman"/>
        </w:rPr>
        <w:t xml:space="preserve"> </w:t>
      </w:r>
      <w:r w:rsidR="00B35F00">
        <w:rPr>
          <w:rFonts w:ascii="Cambria" w:hAnsi="Cambria" w:cs="Times New Roman"/>
        </w:rPr>
        <w:t xml:space="preserve"> The king is addressed as God by virtue of </w:t>
      </w:r>
      <w:r w:rsidR="000E6B27">
        <w:rPr>
          <w:rFonts w:ascii="Cambria" w:hAnsi="Cambria" w:cs="Times New Roman"/>
        </w:rPr>
        <w:t xml:space="preserve">his </w:t>
      </w:r>
      <w:r w:rsidR="00B35F00">
        <w:rPr>
          <w:rFonts w:ascii="Cambria" w:hAnsi="Cambria" w:cs="Times New Roman"/>
        </w:rPr>
        <w:t>sharing God’s throne.</w:t>
      </w:r>
      <w:r w:rsidR="00B35F00">
        <w:rPr>
          <w:rStyle w:val="FootnoteReference"/>
          <w:rFonts w:ascii="Cambria" w:hAnsi="Cambria" w:cs="Times New Roman"/>
        </w:rPr>
        <w:footnoteReference w:id="65"/>
      </w:r>
      <w:r w:rsidR="00B35F00">
        <w:rPr>
          <w:rFonts w:ascii="Cambria" w:hAnsi="Cambria" w:cs="Times New Roman"/>
        </w:rPr>
        <w:t xml:space="preserve"> </w:t>
      </w:r>
      <w:r w:rsidR="00115C53">
        <w:rPr>
          <w:rFonts w:ascii="Cambria" w:hAnsi="Cambria" w:cs="Times New Roman"/>
        </w:rPr>
        <w:t xml:space="preserve"> The king is thereby </w:t>
      </w:r>
      <w:r w:rsidR="00115C53" w:rsidRPr="00115C53">
        <w:rPr>
          <w:rFonts w:ascii="Cambria" w:hAnsi="Cambria" w:cs="Times New Roman"/>
          <w:i/>
          <w:iCs/>
        </w:rPr>
        <w:t>the</w:t>
      </w:r>
      <w:r w:rsidR="00115C53">
        <w:rPr>
          <w:rFonts w:ascii="Cambria" w:hAnsi="Cambria" w:cs="Times New Roman"/>
        </w:rPr>
        <w:t xml:space="preserve"> representative of </w:t>
      </w:r>
      <w:r w:rsidR="00B35F00">
        <w:rPr>
          <w:rFonts w:ascii="Cambria" w:hAnsi="Cambria" w:cs="Times New Roman"/>
        </w:rPr>
        <w:t>divine</w:t>
      </w:r>
      <w:r w:rsidR="00115C53">
        <w:rPr>
          <w:rFonts w:ascii="Cambria" w:hAnsi="Cambria" w:cs="Times New Roman"/>
        </w:rPr>
        <w:t xml:space="preserve"> kingship</w:t>
      </w:r>
      <w:r w:rsidR="00260097">
        <w:rPr>
          <w:rFonts w:ascii="Cambria" w:hAnsi="Cambria" w:cs="Times New Roman"/>
        </w:rPr>
        <w:t xml:space="preserve"> in a way </w:t>
      </w:r>
      <w:r>
        <w:rPr>
          <w:rFonts w:ascii="Cambria" w:hAnsi="Cambria" w:cs="Times New Roman"/>
        </w:rPr>
        <w:t xml:space="preserve">reminiscent of the ruler </w:t>
      </w:r>
      <w:r w:rsidR="00B35F00">
        <w:rPr>
          <w:rFonts w:ascii="Cambria" w:hAnsi="Cambria" w:cs="Times New Roman"/>
        </w:rPr>
        <w:t>cults</w:t>
      </w:r>
      <w:r w:rsidR="00115C53">
        <w:rPr>
          <w:rFonts w:ascii="Cambria" w:hAnsi="Cambria" w:cs="Times New Roman"/>
        </w:rPr>
        <w:t>.</w:t>
      </w:r>
      <w:r w:rsidR="00115C53">
        <w:rPr>
          <w:rStyle w:val="FootnoteReference"/>
          <w:rFonts w:ascii="Cambria" w:hAnsi="Cambria" w:cs="Times New Roman"/>
        </w:rPr>
        <w:footnoteReference w:id="66"/>
      </w:r>
      <w:r w:rsidR="00115C53">
        <w:rPr>
          <w:rFonts w:ascii="Cambria" w:hAnsi="Cambria" w:cs="Times New Roman"/>
        </w:rPr>
        <w:t xml:space="preserve"> </w:t>
      </w:r>
      <w:r w:rsidR="00260097">
        <w:rPr>
          <w:rFonts w:ascii="Cambria" w:hAnsi="Cambria" w:cs="Times New Roman"/>
        </w:rPr>
        <w:t xml:space="preserve"> </w:t>
      </w:r>
      <w:r w:rsidR="00115C53">
        <w:rPr>
          <w:rFonts w:ascii="Cambria" w:hAnsi="Cambria" w:cs="Times New Roman"/>
        </w:rPr>
        <w:t>As a result of the king’s love of righteousness, “God, your God, has anointed you with the oil of gladness beyond your companio</w:t>
      </w:r>
      <w:r w:rsidR="000E6B27">
        <w:rPr>
          <w:rFonts w:ascii="Cambria" w:hAnsi="Cambria" w:cs="Times New Roman"/>
        </w:rPr>
        <w:t>ns” (v. 8).  T</w:t>
      </w:r>
      <w:r w:rsidR="00193752">
        <w:rPr>
          <w:rFonts w:ascii="Cambria" w:hAnsi="Cambria" w:cs="Times New Roman"/>
        </w:rPr>
        <w:t>he psalmist concludes</w:t>
      </w:r>
      <w:r w:rsidR="00115C53">
        <w:rPr>
          <w:rFonts w:ascii="Cambria" w:hAnsi="Cambria" w:cs="Times New Roman"/>
        </w:rPr>
        <w:t>: “I will make your name be celebrated in all generations; therefore the peo</w:t>
      </w:r>
      <w:r w:rsidR="00B35F00">
        <w:rPr>
          <w:rFonts w:ascii="Cambria" w:hAnsi="Cambria" w:cs="Times New Roman"/>
        </w:rPr>
        <w:t>ples will praise you forever</w:t>
      </w:r>
      <w:r w:rsidR="00115C53">
        <w:rPr>
          <w:rFonts w:ascii="Cambria" w:hAnsi="Cambria" w:cs="Times New Roman"/>
        </w:rPr>
        <w:t xml:space="preserve">” (v. 18).  </w:t>
      </w:r>
    </w:p>
    <w:p w14:paraId="3AAC1EB0" w14:textId="49723E91" w:rsidR="009168A9" w:rsidRDefault="00115C53"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 xml:space="preserve">The depiction of the king as </w:t>
      </w:r>
      <w:r w:rsidR="00401DAC">
        <w:rPr>
          <w:rFonts w:ascii="Cambria" w:hAnsi="Cambria" w:cs="Times New Roman"/>
        </w:rPr>
        <w:t>God’s representative</w:t>
      </w:r>
      <w:r>
        <w:rPr>
          <w:rFonts w:ascii="Cambria" w:hAnsi="Cambria" w:cs="Times New Roman"/>
        </w:rPr>
        <w:t>, through the sharing of his throne,</w:t>
      </w:r>
      <w:r w:rsidR="000913EC">
        <w:rPr>
          <w:rFonts w:ascii="Cambria" w:hAnsi="Cambria" w:cs="Times New Roman"/>
        </w:rPr>
        <w:t xml:space="preserve"> is reminiscent of</w:t>
      </w:r>
      <w:r w:rsidR="009919C7">
        <w:rPr>
          <w:rFonts w:ascii="Cambria" w:hAnsi="Cambria" w:cs="Times New Roman"/>
        </w:rPr>
        <w:t xml:space="preserve"> the </w:t>
      </w:r>
      <w:r w:rsidR="001778A4">
        <w:rPr>
          <w:rFonts w:ascii="Cambria" w:hAnsi="Cambria" w:cs="Times New Roman"/>
        </w:rPr>
        <w:t xml:space="preserve">royal </w:t>
      </w:r>
      <w:r w:rsidR="009919C7">
        <w:rPr>
          <w:rFonts w:ascii="Cambria" w:hAnsi="Cambria" w:cs="Times New Roman"/>
        </w:rPr>
        <w:t>coronation hymn of</w:t>
      </w:r>
      <w:r w:rsidR="000913EC">
        <w:rPr>
          <w:rFonts w:ascii="Cambria" w:hAnsi="Cambria" w:cs="Times New Roman"/>
        </w:rPr>
        <w:t xml:space="preserve"> LXX Ps. 109</w:t>
      </w:r>
      <w:r w:rsidR="009168A9">
        <w:rPr>
          <w:rFonts w:ascii="Cambria" w:hAnsi="Cambria" w:cs="Times New Roman"/>
        </w:rPr>
        <w:t>:</w:t>
      </w:r>
    </w:p>
    <w:p w14:paraId="4E01FFCB" w14:textId="2614B98D" w:rsidR="009168A9" w:rsidRDefault="000913EC" w:rsidP="009168A9">
      <w:pPr>
        <w:spacing w:before="100" w:beforeAutospacing="1" w:after="100" w:afterAutospacing="1"/>
        <w:ind w:left="720" w:right="720"/>
        <w:jc w:val="both"/>
        <w:rPr>
          <w:rFonts w:ascii="Cambria" w:hAnsi="Cambria" w:cs="Times New Roman"/>
        </w:rPr>
      </w:pPr>
      <w:r>
        <w:rPr>
          <w:rFonts w:ascii="Cambria" w:hAnsi="Cambria" w:cs="Times New Roman"/>
        </w:rPr>
        <w:t>The Lord said</w:t>
      </w:r>
      <w:r w:rsidR="00115C53">
        <w:rPr>
          <w:rFonts w:ascii="Cambria" w:hAnsi="Cambria" w:cs="Times New Roman"/>
        </w:rPr>
        <w:t xml:space="preserve"> to my Lord (</w:t>
      </w:r>
      <w:r w:rsidR="00115C53">
        <w:rPr>
          <w:rFonts w:ascii="Gentium Plus" w:hAnsi="Gentium Plus" w:cs="Times New Roman"/>
          <w:lang w:val="el-GR"/>
        </w:rPr>
        <w:t>εἰπεν ὁ κύριος τῷ κυρίῶ μου</w:t>
      </w:r>
      <w:r w:rsidR="00115C53">
        <w:rPr>
          <w:rFonts w:ascii="Cambria" w:hAnsi="Cambria" w:cs="Times New Roman"/>
        </w:rPr>
        <w:t>), ‘Sit at my right hand until I make your enemies your footstool.’ The Lord sends out from Zion your mighty scepter. Rule in the midst of your foes</w:t>
      </w:r>
      <w:r>
        <w:rPr>
          <w:rFonts w:ascii="Cambria" w:hAnsi="Cambria" w:cs="Times New Roman"/>
        </w:rPr>
        <w:t xml:space="preserve"> (</w:t>
      </w:r>
      <w:r>
        <w:rPr>
          <w:rFonts w:ascii="Gentium Plus" w:hAnsi="Gentium Plus" w:cs="Times New Roman"/>
          <w:lang w:val="el-GR"/>
        </w:rPr>
        <w:t>κατακυρίευε ἐν μέσῳ τῶν ἐχθρῶν σου</w:t>
      </w:r>
      <w:r>
        <w:rPr>
          <w:rFonts w:ascii="Cambria" w:hAnsi="Cambria" w:cs="Times New Roman"/>
        </w:rPr>
        <w:t>)</w:t>
      </w:r>
      <w:r w:rsidR="00115C53">
        <w:rPr>
          <w:rFonts w:ascii="Cambria" w:hAnsi="Cambria" w:cs="Times New Roman"/>
        </w:rPr>
        <w:t>. With you is rule (</w:t>
      </w:r>
      <w:r w:rsidR="00115C53">
        <w:rPr>
          <w:rFonts w:ascii="Gentium Plus" w:hAnsi="Gentium Plus" w:cs="Times New Roman"/>
          <w:lang w:val="el-GR"/>
        </w:rPr>
        <w:t>μετά σοῦ ἡ άρχή</w:t>
      </w:r>
      <w:r w:rsidR="00115C53">
        <w:rPr>
          <w:rFonts w:ascii="Cambria" w:hAnsi="Cambria" w:cs="Times New Roman"/>
        </w:rPr>
        <w:t>) on the day of your power</w:t>
      </w:r>
      <w:r w:rsidR="00EF1EC9">
        <w:rPr>
          <w:rFonts w:ascii="Cambria" w:hAnsi="Cambria" w:cs="Times New Roman"/>
        </w:rPr>
        <w:t>, in the radiance of the saints, from the womb I have begotten you before the morning star</w:t>
      </w:r>
      <w:r w:rsidR="00115C53">
        <w:rPr>
          <w:rFonts w:ascii="Cambria" w:hAnsi="Cambria" w:cs="Times New Roman"/>
        </w:rPr>
        <w:t>”</w:t>
      </w:r>
      <w:r w:rsidR="00EF1EC9">
        <w:rPr>
          <w:rFonts w:ascii="Cambria" w:hAnsi="Cambria" w:cs="Times New Roman"/>
        </w:rPr>
        <w:t xml:space="preserve"> (109:1-3</w:t>
      </w:r>
      <w:r>
        <w:rPr>
          <w:rFonts w:ascii="Cambria" w:hAnsi="Cambria" w:cs="Times New Roman"/>
        </w:rPr>
        <w:t>).</w:t>
      </w:r>
      <w:r w:rsidR="00B35F00">
        <w:rPr>
          <w:rStyle w:val="FootnoteReference"/>
          <w:rFonts w:ascii="Cambria" w:hAnsi="Cambria" w:cs="Times New Roman"/>
        </w:rPr>
        <w:footnoteReference w:id="67"/>
      </w:r>
      <w:r w:rsidR="00B35F00">
        <w:rPr>
          <w:rFonts w:ascii="Cambria" w:hAnsi="Cambria" w:cs="Times New Roman"/>
        </w:rPr>
        <w:t xml:space="preserve"> </w:t>
      </w:r>
      <w:r w:rsidR="00115C53">
        <w:rPr>
          <w:rFonts w:ascii="Cambria" w:hAnsi="Cambria" w:cs="Times New Roman"/>
        </w:rPr>
        <w:t xml:space="preserve"> </w:t>
      </w:r>
    </w:p>
    <w:p w14:paraId="55C1E3D1" w14:textId="2A0A45E3" w:rsidR="00115C53" w:rsidRDefault="000913EC"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The LXX</w:t>
      </w:r>
      <w:r w:rsidR="009168A9">
        <w:rPr>
          <w:rFonts w:ascii="Cambria" w:hAnsi="Cambria" w:cs="Times New Roman"/>
        </w:rPr>
        <w:t xml:space="preserve"> psalm</w:t>
      </w:r>
      <w:r>
        <w:rPr>
          <w:rFonts w:ascii="Cambria" w:hAnsi="Cambria" w:cs="Times New Roman"/>
        </w:rPr>
        <w:t xml:space="preserve"> appears to assume</w:t>
      </w:r>
      <w:r w:rsidR="000E6B27">
        <w:rPr>
          <w:rFonts w:ascii="Cambria" w:hAnsi="Cambria" w:cs="Times New Roman"/>
        </w:rPr>
        <w:t xml:space="preserve"> (</w:t>
      </w:r>
      <w:r w:rsidR="009D77C0">
        <w:rPr>
          <w:rFonts w:ascii="Cambria" w:hAnsi="Cambria" w:cs="Times New Roman"/>
        </w:rPr>
        <w:t xml:space="preserve">or </w:t>
      </w:r>
      <w:r w:rsidR="00193752">
        <w:rPr>
          <w:rFonts w:ascii="Cambria" w:hAnsi="Cambria" w:cs="Times New Roman"/>
        </w:rPr>
        <w:t xml:space="preserve">at </w:t>
      </w:r>
      <w:r w:rsidR="009D77C0">
        <w:rPr>
          <w:rFonts w:ascii="Cambria" w:hAnsi="Cambria" w:cs="Times New Roman"/>
        </w:rPr>
        <w:t>least ma</w:t>
      </w:r>
      <w:r w:rsidR="00193752">
        <w:rPr>
          <w:rFonts w:ascii="Cambria" w:hAnsi="Cambria" w:cs="Times New Roman"/>
        </w:rPr>
        <w:t xml:space="preserve">kes the interpretation </w:t>
      </w:r>
      <w:r w:rsidR="000E6B27">
        <w:rPr>
          <w:rFonts w:ascii="Cambria" w:hAnsi="Cambria" w:cs="Times New Roman"/>
        </w:rPr>
        <w:t>plausible)</w:t>
      </w:r>
      <w:r>
        <w:rPr>
          <w:rFonts w:ascii="Cambria" w:hAnsi="Cambria" w:cs="Times New Roman"/>
        </w:rPr>
        <w:t xml:space="preserve"> the King’s pre-existence with the statement: “from the womb</w:t>
      </w:r>
      <w:r w:rsidR="00D5016F">
        <w:rPr>
          <w:rFonts w:ascii="Cambria" w:hAnsi="Cambria" w:cs="Times New Roman"/>
        </w:rPr>
        <w:t xml:space="preserve">, </w:t>
      </w:r>
      <w:r w:rsidR="00EF1EC9">
        <w:rPr>
          <w:rFonts w:ascii="Cambria" w:hAnsi="Cambria" w:cs="Times New Roman"/>
        </w:rPr>
        <w:t>I have begotten you before the morning star</w:t>
      </w:r>
      <w:r>
        <w:rPr>
          <w:rFonts w:ascii="Cambria" w:hAnsi="Cambria" w:cs="Times New Roman"/>
        </w:rPr>
        <w:t>” (</w:t>
      </w:r>
      <w:r>
        <w:rPr>
          <w:rFonts w:ascii="Gentium Plus" w:hAnsi="Gentium Plus" w:cs="Times New Roman"/>
          <w:lang w:val="el-GR"/>
        </w:rPr>
        <w:t>ἐκ γαστρὸς πρὸ ἑωσφόρου ἐξεγέννησά σε</w:t>
      </w:r>
      <w:r>
        <w:rPr>
          <w:rFonts w:ascii="Cambria" w:hAnsi="Cambria" w:cs="Times New Roman"/>
        </w:rPr>
        <w:t>, v 3b).</w:t>
      </w:r>
      <w:r>
        <w:rPr>
          <w:rStyle w:val="FootnoteReference"/>
          <w:rFonts w:ascii="Cambria" w:hAnsi="Cambria" w:cs="Times New Roman"/>
        </w:rPr>
        <w:footnoteReference w:id="68"/>
      </w:r>
      <w:r w:rsidR="00DF3561">
        <w:rPr>
          <w:rFonts w:ascii="Cambria" w:hAnsi="Cambria" w:cs="Times New Roman"/>
        </w:rPr>
        <w:t xml:space="preserve">  Further,</w:t>
      </w:r>
      <w:r w:rsidR="009168A9">
        <w:rPr>
          <w:rFonts w:ascii="Cambria" w:hAnsi="Cambria" w:cs="Times New Roman"/>
        </w:rPr>
        <w:t xml:space="preserve"> </w:t>
      </w:r>
      <w:r w:rsidR="00115C53">
        <w:rPr>
          <w:rFonts w:ascii="Cambria" w:hAnsi="Cambria" w:cs="Times New Roman"/>
        </w:rPr>
        <w:t>David</w:t>
      </w:r>
      <w:r w:rsidR="009168A9">
        <w:rPr>
          <w:rFonts w:ascii="Cambria" w:hAnsi="Cambria" w:cs="Times New Roman"/>
        </w:rPr>
        <w:t xml:space="preserve"> speaks</w:t>
      </w:r>
      <w:r w:rsidR="00DF3561">
        <w:rPr>
          <w:rFonts w:ascii="Cambria" w:hAnsi="Cambria" w:cs="Times New Roman"/>
        </w:rPr>
        <w:t xml:space="preserve"> here</w:t>
      </w:r>
      <w:r w:rsidR="00115C53">
        <w:rPr>
          <w:rFonts w:ascii="Cambria" w:hAnsi="Cambria" w:cs="Times New Roman"/>
        </w:rPr>
        <w:t xml:space="preserve"> not only of God as Lord but of a </w:t>
      </w:r>
      <w:r w:rsidR="00DF3561">
        <w:rPr>
          <w:rFonts w:ascii="Cambria" w:hAnsi="Cambria" w:cs="Times New Roman"/>
          <w:i/>
          <w:iCs/>
        </w:rPr>
        <w:t>c</w:t>
      </w:r>
      <w:r w:rsidR="00115C53" w:rsidRPr="00115C53">
        <w:rPr>
          <w:rFonts w:ascii="Cambria" w:hAnsi="Cambria" w:cs="Times New Roman"/>
          <w:i/>
          <w:iCs/>
        </w:rPr>
        <w:t>oming</w:t>
      </w:r>
      <w:r w:rsidR="00115C53">
        <w:rPr>
          <w:rFonts w:ascii="Cambria" w:hAnsi="Cambria" w:cs="Times New Roman"/>
        </w:rPr>
        <w:t xml:space="preserve"> king as Lord who</w:t>
      </w:r>
      <w:r w:rsidR="00401DAC">
        <w:rPr>
          <w:rFonts w:ascii="Cambria" w:hAnsi="Cambria" w:cs="Times New Roman"/>
        </w:rPr>
        <w:t>se</w:t>
      </w:r>
      <w:r w:rsidR="00DF3561">
        <w:rPr>
          <w:rFonts w:ascii="Cambria" w:hAnsi="Cambria" w:cs="Times New Roman"/>
        </w:rPr>
        <w:t xml:space="preserve"> </w:t>
      </w:r>
      <w:r w:rsidR="00DF3561">
        <w:rPr>
          <w:rFonts w:ascii="Gentium Plus" w:hAnsi="Gentium Plus" w:cs="Times New Roman"/>
          <w:lang w:val="el-GR"/>
        </w:rPr>
        <w:t>δύναμις</w:t>
      </w:r>
      <w:r w:rsidR="00DF3561">
        <w:rPr>
          <w:rFonts w:ascii="Cambria" w:hAnsi="Cambria" w:cs="Times New Roman"/>
        </w:rPr>
        <w:t xml:space="preserve"> is derived from God and whose</w:t>
      </w:r>
      <w:r w:rsidR="00401DAC">
        <w:rPr>
          <w:rFonts w:ascii="Cambria" w:hAnsi="Cambria" w:cs="Times New Roman"/>
        </w:rPr>
        <w:t xml:space="preserve"> </w:t>
      </w:r>
      <w:r w:rsidR="00115C53">
        <w:rPr>
          <w:rFonts w:ascii="Cambria" w:hAnsi="Cambria" w:cs="Times New Roman"/>
        </w:rPr>
        <w:t>dominion will outstrip David’s.</w:t>
      </w:r>
      <w:r w:rsidR="00DF3561">
        <w:rPr>
          <w:rStyle w:val="FootnoteReference"/>
          <w:rFonts w:ascii="Cambria" w:hAnsi="Cambria" w:cs="Times New Roman"/>
        </w:rPr>
        <w:footnoteReference w:id="69"/>
      </w:r>
      <w:r w:rsidR="00115C53">
        <w:rPr>
          <w:rFonts w:ascii="Cambria" w:hAnsi="Cambria" w:cs="Times New Roman"/>
        </w:rPr>
        <w:t xml:space="preserve"> </w:t>
      </w:r>
      <w:r w:rsidR="009168A9">
        <w:rPr>
          <w:rFonts w:ascii="Cambria" w:hAnsi="Cambria" w:cs="Times New Roman"/>
        </w:rPr>
        <w:t xml:space="preserve"> </w:t>
      </w:r>
      <w:r w:rsidR="00260097">
        <w:rPr>
          <w:rFonts w:ascii="Cambria" w:hAnsi="Cambria" w:cs="Times New Roman"/>
        </w:rPr>
        <w:t>One day, the Psalmis</w:t>
      </w:r>
      <w:r w:rsidR="00401DAC">
        <w:rPr>
          <w:rFonts w:ascii="Cambria" w:hAnsi="Cambria" w:cs="Times New Roman"/>
        </w:rPr>
        <w:t xml:space="preserve">t </w:t>
      </w:r>
      <w:r w:rsidR="009168A9">
        <w:rPr>
          <w:rFonts w:ascii="Cambria" w:hAnsi="Cambria" w:cs="Times New Roman"/>
        </w:rPr>
        <w:t>says</w:t>
      </w:r>
      <w:r w:rsidR="00401DAC">
        <w:rPr>
          <w:rFonts w:ascii="Cambria" w:hAnsi="Cambria" w:cs="Times New Roman"/>
        </w:rPr>
        <w:t xml:space="preserve">, every hostile </w:t>
      </w:r>
      <w:r w:rsidR="00260097">
        <w:rPr>
          <w:rFonts w:ascii="Cambria" w:hAnsi="Cambria" w:cs="Times New Roman"/>
        </w:rPr>
        <w:t>rule will be overthrown by the</w:t>
      </w:r>
      <w:r w:rsidR="009168A9">
        <w:rPr>
          <w:rFonts w:ascii="Cambria" w:hAnsi="Cambria" w:cs="Times New Roman"/>
        </w:rPr>
        <w:t xml:space="preserve"> king’s rule</w:t>
      </w:r>
      <w:r w:rsidR="00260097">
        <w:rPr>
          <w:rFonts w:ascii="Cambria" w:hAnsi="Cambria" w:cs="Times New Roman"/>
        </w:rPr>
        <w:t>.</w:t>
      </w:r>
      <w:r w:rsidR="00260097">
        <w:rPr>
          <w:rStyle w:val="FootnoteReference"/>
          <w:rFonts w:ascii="Cambria" w:hAnsi="Cambria" w:cs="Times New Roman"/>
        </w:rPr>
        <w:footnoteReference w:id="70"/>
      </w:r>
      <w:r w:rsidR="00115C53">
        <w:rPr>
          <w:rFonts w:ascii="Cambria" w:hAnsi="Cambria" w:cs="Times New Roman"/>
        </w:rPr>
        <w:t xml:space="preserve"> In both </w:t>
      </w:r>
      <w:r w:rsidR="000E6B27">
        <w:rPr>
          <w:rFonts w:ascii="Cambria" w:hAnsi="Cambria" w:cs="Times New Roman"/>
        </w:rPr>
        <w:t>Psalms</w:t>
      </w:r>
      <w:r w:rsidR="009168A9">
        <w:rPr>
          <w:rFonts w:ascii="Cambria" w:hAnsi="Cambria" w:cs="Times New Roman"/>
        </w:rPr>
        <w:t xml:space="preserve"> 44 and 109</w:t>
      </w:r>
      <w:r w:rsidR="00115C53">
        <w:rPr>
          <w:rFonts w:ascii="Cambria" w:hAnsi="Cambria" w:cs="Times New Roman"/>
        </w:rPr>
        <w:t xml:space="preserve">, then, the king is </w:t>
      </w:r>
      <w:r w:rsidR="009168A9">
        <w:rPr>
          <w:rFonts w:ascii="Cambria" w:hAnsi="Cambria" w:cs="Times New Roman"/>
        </w:rPr>
        <w:t xml:space="preserve">God’s agent </w:t>
      </w:r>
      <w:r w:rsidR="000E6B27">
        <w:rPr>
          <w:rFonts w:ascii="Cambria" w:hAnsi="Cambria" w:cs="Times New Roman"/>
        </w:rPr>
        <w:t xml:space="preserve">who shares God’s throne, </w:t>
      </w:r>
      <w:r w:rsidR="00115C53">
        <w:rPr>
          <w:rFonts w:ascii="Cambria" w:hAnsi="Cambria" w:cs="Times New Roman"/>
        </w:rPr>
        <w:t>rules in his behalf</w:t>
      </w:r>
      <w:r w:rsidR="000E6B27">
        <w:rPr>
          <w:rFonts w:ascii="Cambria" w:hAnsi="Cambria" w:cs="Times New Roman"/>
        </w:rPr>
        <w:t>, and is worthy of hymnic honors</w:t>
      </w:r>
      <w:r w:rsidR="00115C53">
        <w:rPr>
          <w:rFonts w:ascii="Cambria" w:hAnsi="Cambria" w:cs="Times New Roman"/>
        </w:rPr>
        <w:t>.</w:t>
      </w:r>
      <w:r w:rsidR="00115C53">
        <w:rPr>
          <w:rStyle w:val="FootnoteReference"/>
          <w:rFonts w:ascii="Cambria" w:hAnsi="Cambria" w:cs="Times New Roman"/>
        </w:rPr>
        <w:footnoteReference w:id="71"/>
      </w:r>
      <w:r w:rsidR="00115C53">
        <w:rPr>
          <w:rFonts w:ascii="Cambria" w:hAnsi="Cambria" w:cs="Times New Roman"/>
        </w:rPr>
        <w:t xml:space="preserve"> </w:t>
      </w:r>
    </w:p>
    <w:p w14:paraId="5F2ACDB8" w14:textId="4B492E45" w:rsidR="00115C53" w:rsidRDefault="00115C53" w:rsidP="00115C53">
      <w:pPr>
        <w:spacing w:before="100" w:beforeAutospacing="1" w:after="100" w:afterAutospacing="1" w:line="480" w:lineRule="auto"/>
        <w:jc w:val="both"/>
        <w:rPr>
          <w:rFonts w:ascii="Cambria" w:hAnsi="Cambria" w:cs="Times New Roman"/>
        </w:rPr>
      </w:pPr>
      <w:r>
        <w:rPr>
          <w:rFonts w:ascii="Cambria" w:hAnsi="Cambria" w:cs="Times New Roman"/>
        </w:rPr>
        <w:tab/>
        <w:t>The worldwide dominion of the king is celebrated and lamented in LXX Ps. 88 where the psalmist situates God’s promises to have a Davidic king rule creation within God’s own rule over the seas and heavens (vv. 10-12):</w:t>
      </w:r>
      <w:r w:rsidR="009919C7">
        <w:rPr>
          <w:rStyle w:val="FootnoteReference"/>
          <w:rFonts w:ascii="Cambria" w:hAnsi="Cambria" w:cs="Times New Roman"/>
        </w:rPr>
        <w:footnoteReference w:id="72"/>
      </w:r>
    </w:p>
    <w:p w14:paraId="54DB7031" w14:textId="6BEE9893" w:rsidR="00115C53" w:rsidRDefault="00115C53" w:rsidP="00142CC6">
      <w:pPr>
        <w:spacing w:before="100" w:beforeAutospacing="1" w:after="100" w:afterAutospacing="1"/>
        <w:ind w:left="806" w:right="720"/>
        <w:jc w:val="both"/>
        <w:rPr>
          <w:rFonts w:ascii="Cambria" w:hAnsi="Cambria" w:cs="Times New Roman"/>
        </w:rPr>
      </w:pPr>
      <w:r>
        <w:rPr>
          <w:rFonts w:ascii="Cambria" w:hAnsi="Cambria" w:cs="Times New Roman"/>
        </w:rPr>
        <w:t>I will set his hand on the sea and his right hand on th</w:t>
      </w:r>
      <w:r w:rsidR="00F23817">
        <w:rPr>
          <w:rFonts w:ascii="Cambria" w:hAnsi="Cambria" w:cs="Times New Roman"/>
        </w:rPr>
        <w:t>e rivers.  He shall cry to me, “</w:t>
      </w:r>
      <w:r>
        <w:rPr>
          <w:rFonts w:ascii="Cambria" w:hAnsi="Cambria" w:cs="Times New Roman"/>
        </w:rPr>
        <w:t>You are my Father, my God</w:t>
      </w:r>
      <w:r w:rsidR="00F23817">
        <w:rPr>
          <w:rFonts w:ascii="Cambria" w:hAnsi="Cambria" w:cs="Times New Roman"/>
        </w:rPr>
        <w:t>, and the Rock of my salvation!”</w:t>
      </w:r>
      <w:r>
        <w:rPr>
          <w:rFonts w:ascii="Cambria" w:hAnsi="Cambria" w:cs="Times New Roman"/>
        </w:rPr>
        <w:t xml:space="preserve"> I will make him the firstborn, the highest of the kings of earth’ (</w:t>
      </w:r>
      <w:r>
        <w:rPr>
          <w:rFonts w:ascii="Gentium Plus" w:hAnsi="Gentium Plus" w:cs="Times New Roman"/>
          <w:lang w:val="el-GR"/>
        </w:rPr>
        <w:t>κἀγὼ πρωτότοκον θήσομαι αὐτόν, ὑψηλὸν παρὰ τοῖς βασιλεῦσιν τῆς γῆς</w:t>
      </w:r>
      <w:r w:rsidR="00F23817">
        <w:rPr>
          <w:rFonts w:ascii="Cambria" w:hAnsi="Cambria" w:cs="Times New Roman"/>
        </w:rPr>
        <w:t>)</w:t>
      </w:r>
      <w:r>
        <w:rPr>
          <w:rFonts w:ascii="Cambria" w:hAnsi="Cambria" w:cs="Times New Roman"/>
        </w:rPr>
        <w:t xml:space="preserve"> (Ps. 88:26-28).</w:t>
      </w:r>
    </w:p>
    <w:p w14:paraId="6944B191" w14:textId="06A1AAFA" w:rsidR="00115C53" w:rsidRDefault="00115C53" w:rsidP="00115C53">
      <w:pPr>
        <w:spacing w:before="100" w:beforeAutospacing="1" w:after="100" w:afterAutospacing="1" w:line="480" w:lineRule="auto"/>
        <w:jc w:val="both"/>
        <w:rPr>
          <w:rFonts w:ascii="Cambria" w:hAnsi="Cambria" w:cs="Times New Roman"/>
        </w:rPr>
      </w:pPr>
      <w:r>
        <w:rPr>
          <w:rFonts w:ascii="Cambria" w:hAnsi="Cambria" w:cs="Times New Roman"/>
        </w:rPr>
        <w:t>The king’s dominion</w:t>
      </w:r>
      <w:r w:rsidR="000E6B27">
        <w:rPr>
          <w:rFonts w:ascii="Cambria" w:hAnsi="Cambria" w:cs="Times New Roman"/>
        </w:rPr>
        <w:t xml:space="preserve"> over the seas and rivers is </w:t>
      </w:r>
      <w:r>
        <w:rPr>
          <w:rFonts w:ascii="Cambria" w:hAnsi="Cambria" w:cs="Times New Roman"/>
        </w:rPr>
        <w:t>a gift from the Lord who himself rules “the raging of the sea” (88:10), and to whose rule belongs “the heavens, the earth is also yours, the world and all that is in it – you have founded them” (88:12).</w:t>
      </w:r>
      <w:r>
        <w:rPr>
          <w:rStyle w:val="FootnoteReference"/>
          <w:rFonts w:ascii="Cambria" w:hAnsi="Cambria" w:cs="Times New Roman"/>
        </w:rPr>
        <w:footnoteReference w:id="73"/>
      </w:r>
      <w:r w:rsidR="00260097">
        <w:rPr>
          <w:rFonts w:ascii="Cambria" w:hAnsi="Cambria" w:cs="Times New Roman"/>
        </w:rPr>
        <w:t xml:space="preserve"> </w:t>
      </w:r>
      <w:r w:rsidR="009919C7">
        <w:rPr>
          <w:rFonts w:ascii="Cambria" w:hAnsi="Cambria" w:cs="Times New Roman"/>
        </w:rPr>
        <w:t xml:space="preserve"> God’s destruction of his cosmic enemies (vv. 10-11) is the basis for the king’s defeat of his earthly opponents</w:t>
      </w:r>
      <w:r w:rsidR="00401DAC">
        <w:rPr>
          <w:rFonts w:ascii="Cambria" w:hAnsi="Cambria" w:cs="Times New Roman"/>
        </w:rPr>
        <w:t xml:space="preserve"> (vv. xx)</w:t>
      </w:r>
      <w:r w:rsidR="009919C7">
        <w:rPr>
          <w:rFonts w:ascii="Cambria" w:hAnsi="Cambria" w:cs="Times New Roman"/>
        </w:rPr>
        <w:t>.</w:t>
      </w:r>
      <w:r w:rsidR="00B35F00">
        <w:rPr>
          <w:rStyle w:val="FootnoteReference"/>
          <w:rFonts w:ascii="Cambria" w:hAnsi="Cambria" w:cs="Times New Roman"/>
        </w:rPr>
        <w:footnoteReference w:id="74"/>
      </w:r>
      <w:r w:rsidR="009919C7">
        <w:rPr>
          <w:rFonts w:ascii="Cambria" w:hAnsi="Cambria" w:cs="Times New Roman"/>
        </w:rPr>
        <w:t xml:space="preserve"> </w:t>
      </w:r>
      <w:r w:rsidR="00401DAC">
        <w:rPr>
          <w:rFonts w:ascii="Cambria" w:hAnsi="Cambria" w:cs="Times New Roman"/>
        </w:rPr>
        <w:t xml:space="preserve"> J</w:t>
      </w:r>
      <w:r w:rsidR="00260097">
        <w:rPr>
          <w:rFonts w:ascii="Cambria" w:hAnsi="Cambria" w:cs="Times New Roman"/>
        </w:rPr>
        <w:t xml:space="preserve">ust as God rules from his heavenly throne (88:6-9), so one day will God establish the King’s “throne as long as the heavens endure” (88:30). </w:t>
      </w:r>
      <w:r w:rsidR="000E6B27">
        <w:rPr>
          <w:rFonts w:ascii="Cambria" w:hAnsi="Cambria" w:cs="Times New Roman"/>
        </w:rPr>
        <w:t xml:space="preserve"> </w:t>
      </w:r>
      <w:r w:rsidR="009919C7">
        <w:rPr>
          <w:rFonts w:ascii="Cambria" w:hAnsi="Cambria" w:cs="Times New Roman"/>
        </w:rPr>
        <w:t>Just as the throne</w:t>
      </w:r>
      <w:r w:rsidR="000E6B27">
        <w:rPr>
          <w:rFonts w:ascii="Cambria" w:hAnsi="Cambria" w:cs="Times New Roman"/>
        </w:rPr>
        <w:t xml:space="preserve"> of the Lord</w:t>
      </w:r>
      <w:r w:rsidR="009919C7">
        <w:rPr>
          <w:rFonts w:ascii="Cambria" w:hAnsi="Cambria" w:cs="Times New Roman"/>
        </w:rPr>
        <w:t xml:space="preserve"> is characterized by righteousness, justice, mercy, and truth (88:15), so is the King’s throne secured by the Lord’s mercy and fidelity (88:29-30). </w:t>
      </w:r>
      <w:r w:rsidR="00260097">
        <w:rPr>
          <w:rFonts w:ascii="Cambria" w:hAnsi="Cambria" w:cs="Times New Roman"/>
        </w:rPr>
        <w:t xml:space="preserve"> The Davidic king’s rule </w:t>
      </w:r>
      <w:r w:rsidR="00401DAC">
        <w:rPr>
          <w:rFonts w:ascii="Cambria" w:hAnsi="Cambria" w:cs="Times New Roman"/>
        </w:rPr>
        <w:t xml:space="preserve">thereby reflects and enacts </w:t>
      </w:r>
      <w:r w:rsidR="00260097">
        <w:rPr>
          <w:rFonts w:ascii="Cambria" w:hAnsi="Cambria" w:cs="Times New Roman"/>
        </w:rPr>
        <w:t xml:space="preserve">God’s heavenly dominion. </w:t>
      </w:r>
      <w:r w:rsidR="00401DAC">
        <w:rPr>
          <w:rFonts w:ascii="Cambria" w:hAnsi="Cambria" w:cs="Times New Roman"/>
        </w:rPr>
        <w:t xml:space="preserve"> There is an incredible correspondence between God’s heavenly throne and the earthly king’s reign.</w:t>
      </w:r>
      <w:r w:rsidR="00260097">
        <w:rPr>
          <w:rStyle w:val="FootnoteReference"/>
          <w:rFonts w:ascii="Cambria" w:hAnsi="Cambria" w:cs="Times New Roman"/>
        </w:rPr>
        <w:footnoteReference w:id="75"/>
      </w:r>
      <w:r w:rsidR="009919C7">
        <w:rPr>
          <w:rFonts w:ascii="Cambria" w:hAnsi="Cambria" w:cs="Times New Roman"/>
        </w:rPr>
        <w:t xml:space="preserve">  Richard J. Clifford notes that the apparent “excess of royal claims” made on behalf of the king derive from the fact that the king shares in every aspect of Yahweh’s rule.</w:t>
      </w:r>
      <w:r w:rsidR="009919C7">
        <w:rPr>
          <w:rStyle w:val="FootnoteReference"/>
          <w:rFonts w:ascii="Cambria" w:hAnsi="Cambria" w:cs="Times New Roman"/>
        </w:rPr>
        <w:footnoteReference w:id="76"/>
      </w:r>
    </w:p>
    <w:p w14:paraId="091559BF" w14:textId="3B603005" w:rsidR="00115C53" w:rsidRDefault="00115C53"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 xml:space="preserve">Finally, LXX Psalm 71 is a prayer for the son of the king (v. 1b). </w:t>
      </w:r>
      <w:r w:rsidR="00B35F00">
        <w:rPr>
          <w:rFonts w:ascii="Cambria" w:hAnsi="Cambria" w:cs="Times New Roman"/>
        </w:rPr>
        <w:t xml:space="preserve"> </w:t>
      </w:r>
      <w:r>
        <w:rPr>
          <w:rFonts w:ascii="Cambria" w:hAnsi="Cambria" w:cs="Times New Roman"/>
        </w:rPr>
        <w:t xml:space="preserve">It envisions his reign as one where “righteousness flourishes and peace </w:t>
      </w:r>
      <w:r w:rsidR="00F23817">
        <w:rPr>
          <w:rFonts w:ascii="Cambria" w:hAnsi="Cambria" w:cs="Times New Roman"/>
        </w:rPr>
        <w:t>a</w:t>
      </w:r>
      <w:r>
        <w:rPr>
          <w:rFonts w:ascii="Cambria" w:hAnsi="Cambria" w:cs="Times New Roman"/>
        </w:rPr>
        <w:t>bounds” (v. 7).</w:t>
      </w:r>
      <w:r w:rsidR="00B35F00">
        <w:rPr>
          <w:rFonts w:ascii="Cambria" w:hAnsi="Cambria" w:cs="Times New Roman"/>
        </w:rPr>
        <w:t xml:space="preserve">  Again, however, the king’s righteous and peaceful reign would appear to be a participation in God’s own just and righteous rule (71:1-2).</w:t>
      </w:r>
      <w:r w:rsidR="00B35F00">
        <w:rPr>
          <w:rStyle w:val="FootnoteReference"/>
          <w:rFonts w:ascii="Cambria" w:hAnsi="Cambria" w:cs="Times New Roman"/>
        </w:rPr>
        <w:footnoteReference w:id="77"/>
      </w:r>
      <w:r>
        <w:rPr>
          <w:rFonts w:ascii="Cambria" w:hAnsi="Cambria" w:cs="Times New Roman"/>
        </w:rPr>
        <w:t xml:space="preserve"> The scope of his “dominion (</w:t>
      </w:r>
      <w:r>
        <w:rPr>
          <w:rFonts w:ascii="Gentium Plus" w:hAnsi="Gentium Plus" w:cs="Times New Roman"/>
          <w:lang w:val="el-GR"/>
        </w:rPr>
        <w:t>κατακυριεύσει</w:t>
      </w:r>
      <w:r>
        <w:rPr>
          <w:rFonts w:ascii="Cambria" w:hAnsi="Cambria" w:cs="Times New Roman"/>
        </w:rPr>
        <w:t>) [is] from sea to sea and from the river to the ends of the earth (</w:t>
      </w:r>
      <w:r>
        <w:rPr>
          <w:rFonts w:ascii="Gentium Plus" w:hAnsi="Gentium Plus" w:cs="Times New Roman"/>
          <w:lang w:val="el-GR"/>
        </w:rPr>
        <w:t>περάτων τῆς οἰκουμένης</w:t>
      </w:r>
      <w:r>
        <w:rPr>
          <w:rFonts w:ascii="Cambria" w:hAnsi="Cambria" w:cs="Times New Roman"/>
        </w:rPr>
        <w:t>)” (v. 8).  All of the “kings will give obeisance before him (</w:t>
      </w:r>
      <w:r>
        <w:rPr>
          <w:rFonts w:ascii="Gentium Plus" w:hAnsi="Gentium Plus" w:cs="Times New Roman"/>
          <w:lang w:val="el-GR"/>
        </w:rPr>
        <w:t>προσκυνήσουσιν αὐτῷ πάντες οἱ βασιλεῖς</w:t>
      </w:r>
      <w:r>
        <w:rPr>
          <w:rFonts w:ascii="Cambria" w:hAnsi="Cambria" w:cs="Times New Roman"/>
        </w:rPr>
        <w:t xml:space="preserve">), all nations serve him” (v. 11). </w:t>
      </w:r>
      <w:r w:rsidR="009919C7">
        <w:rPr>
          <w:rFonts w:ascii="Cambria" w:hAnsi="Cambria" w:cs="Times New Roman"/>
        </w:rPr>
        <w:t xml:space="preserve"> </w:t>
      </w:r>
      <w:r>
        <w:rPr>
          <w:rFonts w:ascii="Cambria" w:hAnsi="Cambria" w:cs="Times New Roman"/>
        </w:rPr>
        <w:t xml:space="preserve">The king’s rule insures abundant </w:t>
      </w:r>
      <w:r w:rsidR="009919C7">
        <w:rPr>
          <w:rFonts w:ascii="Cambria" w:hAnsi="Cambria" w:cs="Times New Roman"/>
        </w:rPr>
        <w:t xml:space="preserve">Eden-like </w:t>
      </w:r>
      <w:r>
        <w:rPr>
          <w:rFonts w:ascii="Cambria" w:hAnsi="Cambria" w:cs="Times New Roman"/>
        </w:rPr>
        <w:t>agricultural fertility (v. 16; cf. v. 3</w:t>
      </w:r>
      <w:r w:rsidR="009919C7">
        <w:rPr>
          <w:rFonts w:ascii="Cambria" w:hAnsi="Cambria" w:cs="Times New Roman"/>
        </w:rPr>
        <w:t>; Joel 2:24; Isa. 25:6-9</w:t>
      </w:r>
      <w:r>
        <w:rPr>
          <w:rFonts w:ascii="Cambria" w:hAnsi="Cambria" w:cs="Times New Roman"/>
        </w:rPr>
        <w:t xml:space="preserve">), and </w:t>
      </w:r>
      <w:r w:rsidR="00BE735C">
        <w:rPr>
          <w:rFonts w:ascii="Cambria" w:hAnsi="Cambria" w:cs="Times New Roman"/>
        </w:rPr>
        <w:t xml:space="preserve">so </w:t>
      </w:r>
      <w:r>
        <w:rPr>
          <w:rFonts w:ascii="Cambria" w:hAnsi="Cambria" w:cs="Times New Roman"/>
        </w:rPr>
        <w:t xml:space="preserve">he prays </w:t>
      </w:r>
      <w:r w:rsidR="00BE735C">
        <w:rPr>
          <w:rFonts w:ascii="Cambria" w:hAnsi="Cambria" w:cs="Times New Roman"/>
        </w:rPr>
        <w:t>for</w:t>
      </w:r>
      <w:r>
        <w:rPr>
          <w:rFonts w:ascii="Cambria" w:hAnsi="Cambria" w:cs="Times New Roman"/>
        </w:rPr>
        <w:t xml:space="preserve"> “his name </w:t>
      </w:r>
      <w:r w:rsidR="00BE735C">
        <w:rPr>
          <w:rFonts w:ascii="Cambria" w:hAnsi="Cambria" w:cs="Times New Roman"/>
        </w:rPr>
        <w:t>to</w:t>
      </w:r>
      <w:r>
        <w:rPr>
          <w:rFonts w:ascii="Cambria" w:hAnsi="Cambria" w:cs="Times New Roman"/>
        </w:rPr>
        <w:t xml:space="preserve"> endure forever, his fame</w:t>
      </w:r>
      <w:r w:rsidR="00BE735C">
        <w:rPr>
          <w:rFonts w:ascii="Cambria" w:hAnsi="Cambria" w:cs="Times New Roman"/>
        </w:rPr>
        <w:t xml:space="preserve"> to</w:t>
      </w:r>
      <w:r>
        <w:rPr>
          <w:rFonts w:ascii="Cambria" w:hAnsi="Cambria" w:cs="Times New Roman"/>
        </w:rPr>
        <w:t xml:space="preserve"> continue as long as the sun. May all nations be blessed in him; may they pronounce him happy” (v. 17).  Repeatedly, the king is spoken of as worthy of praise </w:t>
      </w:r>
      <w:r w:rsidRPr="00115C53">
        <w:rPr>
          <w:rFonts w:ascii="Cambria" w:hAnsi="Cambria" w:cs="Times New Roman"/>
          <w:i/>
          <w:iCs/>
        </w:rPr>
        <w:t>as a result of</w:t>
      </w:r>
      <w:r>
        <w:rPr>
          <w:rFonts w:ascii="Cambria" w:hAnsi="Cambria" w:cs="Times New Roman"/>
        </w:rPr>
        <w:t xml:space="preserve"> his deliverance, merc</w:t>
      </w:r>
      <w:r w:rsidR="00401DAC">
        <w:rPr>
          <w:rFonts w:ascii="Cambria" w:hAnsi="Cambria" w:cs="Times New Roman"/>
        </w:rPr>
        <w:t xml:space="preserve">y, and saving acts for the </w:t>
      </w:r>
      <w:r>
        <w:rPr>
          <w:rFonts w:ascii="Cambria" w:hAnsi="Cambria" w:cs="Times New Roman"/>
        </w:rPr>
        <w:t>needy (vv. 4, 12-14).</w:t>
      </w:r>
    </w:p>
    <w:p w14:paraId="0DDB7E18" w14:textId="728F5C3B" w:rsidR="00260097" w:rsidRDefault="00260097"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 xml:space="preserve">Though they are not hymns, the bestowal of praise and honors upon Israel’s kings </w:t>
      </w:r>
      <w:r w:rsidR="00401DAC">
        <w:rPr>
          <w:rFonts w:ascii="Cambria" w:hAnsi="Cambria" w:cs="Times New Roman"/>
        </w:rPr>
        <w:t xml:space="preserve">also </w:t>
      </w:r>
      <w:r>
        <w:rPr>
          <w:rFonts w:ascii="Cambria" w:hAnsi="Cambria" w:cs="Times New Roman"/>
        </w:rPr>
        <w:t xml:space="preserve">takes the form of prophecy throughout poetic seams </w:t>
      </w:r>
      <w:r w:rsidR="00401DAC">
        <w:rPr>
          <w:rFonts w:ascii="Cambria" w:hAnsi="Cambria" w:cs="Times New Roman"/>
        </w:rPr>
        <w:t>in</w:t>
      </w:r>
      <w:r>
        <w:rPr>
          <w:rFonts w:ascii="Cambria" w:hAnsi="Cambria" w:cs="Times New Roman"/>
        </w:rPr>
        <w:t xml:space="preserve"> the Pentateuch (LXX Gen. 49:8-12; Num. 23-24; Deut. 33:1-5).</w:t>
      </w:r>
      <w:r>
        <w:rPr>
          <w:rStyle w:val="FootnoteReference"/>
          <w:rFonts w:ascii="Cambria" w:hAnsi="Cambria" w:cs="Times New Roman"/>
        </w:rPr>
        <w:footnoteReference w:id="78"/>
      </w:r>
      <w:r>
        <w:rPr>
          <w:rFonts w:ascii="Cambria" w:hAnsi="Cambria" w:cs="Times New Roman"/>
        </w:rPr>
        <w:t xml:space="preserve">  These poetic compositions</w:t>
      </w:r>
      <w:r w:rsidR="00401DAC">
        <w:rPr>
          <w:rFonts w:ascii="Cambria" w:hAnsi="Cambria" w:cs="Times New Roman"/>
        </w:rPr>
        <w:t xml:space="preserve"> </w:t>
      </w:r>
      <w:r>
        <w:rPr>
          <w:rFonts w:ascii="Cambria" w:hAnsi="Cambria" w:cs="Times New Roman"/>
        </w:rPr>
        <w:t xml:space="preserve">confirm what we have seen in the Psalms as they depict through their praise a </w:t>
      </w:r>
      <w:r w:rsidRPr="00260097">
        <w:rPr>
          <w:rFonts w:ascii="Cambria" w:hAnsi="Cambria" w:cs="Times New Roman"/>
          <w:i/>
        </w:rPr>
        <w:t>coming</w:t>
      </w:r>
      <w:r>
        <w:rPr>
          <w:rFonts w:ascii="Cambria" w:hAnsi="Cambria" w:cs="Times New Roman"/>
        </w:rPr>
        <w:t xml:space="preserve"> Davidic king who is worthy of royal honors for his </w:t>
      </w:r>
      <w:r w:rsidR="000E6B27">
        <w:rPr>
          <w:rFonts w:ascii="Cambria" w:hAnsi="Cambria" w:cs="Times New Roman"/>
        </w:rPr>
        <w:t>worldwide</w:t>
      </w:r>
      <w:r>
        <w:rPr>
          <w:rFonts w:ascii="Cambria" w:hAnsi="Cambria" w:cs="Times New Roman"/>
        </w:rPr>
        <w:t xml:space="preserve"> dominion.</w:t>
      </w:r>
      <w:r w:rsidR="00BE735C">
        <w:rPr>
          <w:rStyle w:val="FootnoteReference"/>
          <w:rFonts w:ascii="Cambria" w:hAnsi="Cambria" w:cs="Times New Roman"/>
        </w:rPr>
        <w:footnoteReference w:id="79"/>
      </w:r>
      <w:r>
        <w:rPr>
          <w:rFonts w:ascii="Cambria" w:hAnsi="Cambria" w:cs="Times New Roman"/>
        </w:rPr>
        <w:t xml:space="preserve">  Thus, in LXX Gen. 49:8-12, a prophecy that pertains to “the end of the days” (</w:t>
      </w:r>
      <w:r>
        <w:rPr>
          <w:rFonts w:ascii="Gentium Plus" w:hAnsi="Gentium Plus" w:cs="Times New Roman"/>
          <w:lang w:val="el-GR"/>
        </w:rPr>
        <w:t>ἐπ᾽ ἐσχάτων τῶν ἡμερῶν</w:t>
      </w:r>
      <w:r>
        <w:rPr>
          <w:rFonts w:ascii="Cambria" w:hAnsi="Cambria" w:cs="Times New Roman"/>
        </w:rPr>
        <w:t>, 49:1b), we read that a royal descendant</w:t>
      </w:r>
      <w:r w:rsidR="00401DAC">
        <w:rPr>
          <w:rFonts w:ascii="Cambria" w:hAnsi="Cambria" w:cs="Times New Roman"/>
        </w:rPr>
        <w:t xml:space="preserve"> of Judah will receive </w:t>
      </w:r>
      <w:r>
        <w:rPr>
          <w:rFonts w:ascii="Cambria" w:hAnsi="Cambria" w:cs="Times New Roman"/>
        </w:rPr>
        <w:t>worship: “your brothers will praise you” (</w:t>
      </w:r>
      <w:r>
        <w:rPr>
          <w:rFonts w:ascii="Gentium Plus" w:hAnsi="Gentium Plus" w:cs="Times New Roman"/>
          <w:lang w:val="el-GR"/>
        </w:rPr>
        <w:t>σὲ αἰνέσαισαν οἱ ἀδελφοί σου</w:t>
      </w:r>
      <w:r>
        <w:rPr>
          <w:rFonts w:ascii="Cambria" w:hAnsi="Cambria" w:cs="Times New Roman"/>
        </w:rPr>
        <w:t>, v. 8a) and “the sons of your father will worship you (</w:t>
      </w:r>
      <w:r>
        <w:rPr>
          <w:rFonts w:ascii="Gentium Plus" w:hAnsi="Gentium Plus" w:cs="Times New Roman"/>
          <w:lang w:val="el-GR"/>
        </w:rPr>
        <w:t>προσκυνήσουσίν σοι</w:t>
      </w:r>
      <w:r>
        <w:rPr>
          <w:rFonts w:ascii="Cambria" w:hAnsi="Cambria" w:cs="Times New Roman"/>
        </w:rPr>
        <w:t>)” (v. 8c).</w:t>
      </w:r>
      <w:r w:rsidR="00BE735C">
        <w:rPr>
          <w:rStyle w:val="FootnoteReference"/>
          <w:rFonts w:ascii="Cambria" w:hAnsi="Cambria" w:cs="Times New Roman"/>
        </w:rPr>
        <w:footnoteReference w:id="80"/>
      </w:r>
      <w:r>
        <w:rPr>
          <w:rFonts w:ascii="Cambria" w:hAnsi="Cambria" w:cs="Times New Roman"/>
        </w:rPr>
        <w:t xml:space="preserve">  </w:t>
      </w:r>
      <w:r w:rsidR="00401DAC">
        <w:rPr>
          <w:rFonts w:ascii="Cambria" w:hAnsi="Cambria" w:cs="Times New Roman"/>
        </w:rPr>
        <w:t>The poem</w:t>
      </w:r>
      <w:r>
        <w:rPr>
          <w:rFonts w:ascii="Cambria" w:hAnsi="Cambria" w:cs="Times New Roman"/>
        </w:rPr>
        <w:t xml:space="preserve"> look</w:t>
      </w:r>
      <w:r w:rsidR="00401DAC">
        <w:rPr>
          <w:rFonts w:ascii="Cambria" w:hAnsi="Cambria" w:cs="Times New Roman"/>
        </w:rPr>
        <w:t>s</w:t>
      </w:r>
      <w:r>
        <w:rPr>
          <w:rFonts w:ascii="Cambria" w:hAnsi="Cambria" w:cs="Times New Roman"/>
        </w:rPr>
        <w:t xml:space="preserve"> forward to </w:t>
      </w:r>
      <w:r w:rsidR="00401DAC">
        <w:rPr>
          <w:rFonts w:ascii="Cambria" w:hAnsi="Cambria" w:cs="Times New Roman"/>
        </w:rPr>
        <w:t>a</w:t>
      </w:r>
      <w:r>
        <w:rPr>
          <w:rFonts w:ascii="Cambria" w:hAnsi="Cambria" w:cs="Times New Roman"/>
        </w:rPr>
        <w:t xml:space="preserve"> “ruler from Judah (</w:t>
      </w:r>
      <w:r>
        <w:rPr>
          <w:rFonts w:ascii="Gentium Plus" w:hAnsi="Gentium Plus" w:cs="Times New Roman"/>
          <w:lang w:val="el-GR"/>
        </w:rPr>
        <w:t>ἄρχων ἐξ Ιουδα</w:t>
      </w:r>
      <w:r>
        <w:rPr>
          <w:rFonts w:ascii="Cambria" w:hAnsi="Cambria" w:cs="Times New Roman"/>
        </w:rPr>
        <w:t>)” who alone “is the expectation of the nations (</w:t>
      </w:r>
      <w:r>
        <w:rPr>
          <w:rFonts w:ascii="Gentium Plus" w:hAnsi="Gentium Plus" w:cs="Times New Roman"/>
          <w:lang w:val="el-GR"/>
        </w:rPr>
        <w:t>αὐτὸς προσδοκία ἐθνῶν</w:t>
      </w:r>
      <w:r>
        <w:rPr>
          <w:rFonts w:ascii="Cambria" w:hAnsi="Cambria" w:cs="Times New Roman"/>
        </w:rPr>
        <w:t>)” (cf.</w:t>
      </w:r>
      <w:r w:rsidR="0075432B">
        <w:rPr>
          <w:rFonts w:ascii="Cambria" w:hAnsi="Cambria" w:cs="Times New Roman"/>
        </w:rPr>
        <w:t xml:space="preserve"> Isa. 11:10;</w:t>
      </w:r>
      <w:r>
        <w:rPr>
          <w:rFonts w:ascii="Cambria" w:hAnsi="Cambria" w:cs="Times New Roman"/>
        </w:rPr>
        <w:t xml:space="preserve"> Rom. 15:12).  This royal figure </w:t>
      </w:r>
      <w:r w:rsidR="00BE735C">
        <w:rPr>
          <w:rFonts w:ascii="Cambria" w:hAnsi="Cambria" w:cs="Times New Roman"/>
        </w:rPr>
        <w:t>will receive praise for his</w:t>
      </w:r>
      <w:r>
        <w:rPr>
          <w:rFonts w:ascii="Cambria" w:hAnsi="Cambria" w:cs="Times New Roman"/>
        </w:rPr>
        <w:t xml:space="preserve"> victories over the enemies of </w:t>
      </w:r>
      <w:r w:rsidR="00401DAC">
        <w:rPr>
          <w:rFonts w:ascii="Cambria" w:hAnsi="Cambria" w:cs="Times New Roman"/>
        </w:rPr>
        <w:t xml:space="preserve">God’s people </w:t>
      </w:r>
      <w:r w:rsidR="00BE735C">
        <w:rPr>
          <w:rFonts w:ascii="Cambria" w:hAnsi="Cambria" w:cs="Times New Roman"/>
        </w:rPr>
        <w:t>that results in the deliverance of Israel</w:t>
      </w:r>
      <w:r w:rsidR="009919C7">
        <w:rPr>
          <w:rFonts w:ascii="Cambria" w:hAnsi="Cambria" w:cs="Times New Roman"/>
        </w:rPr>
        <w:t xml:space="preserve"> and Eden-like fertility in the land</w:t>
      </w:r>
      <w:r>
        <w:rPr>
          <w:rFonts w:ascii="Cambria" w:hAnsi="Cambria" w:cs="Times New Roman"/>
        </w:rPr>
        <w:t xml:space="preserve"> (v. 8, 9b, 11-12)</w:t>
      </w:r>
      <w:r w:rsidR="009919C7">
        <w:rPr>
          <w:rFonts w:ascii="Cambria" w:hAnsi="Cambria" w:cs="Times New Roman"/>
        </w:rPr>
        <w:t>.</w:t>
      </w:r>
      <w:r w:rsidR="00BE735C">
        <w:rPr>
          <w:rStyle w:val="FootnoteReference"/>
          <w:rFonts w:ascii="Cambria" w:hAnsi="Cambria" w:cs="Times New Roman"/>
        </w:rPr>
        <w:footnoteReference w:id="81"/>
      </w:r>
      <w:r>
        <w:rPr>
          <w:rFonts w:ascii="Cambria" w:hAnsi="Cambria" w:cs="Times New Roman"/>
        </w:rPr>
        <w:t xml:space="preserve">  Or again in LXX Numbers 24, Ba</w:t>
      </w:r>
      <w:r w:rsidR="00401DAC">
        <w:rPr>
          <w:rFonts w:ascii="Cambria" w:hAnsi="Cambria" w:cs="Times New Roman"/>
        </w:rPr>
        <w:t xml:space="preserve">laam </w:t>
      </w:r>
      <w:r>
        <w:rPr>
          <w:rFonts w:ascii="Cambria" w:hAnsi="Cambria" w:cs="Times New Roman"/>
        </w:rPr>
        <w:t>prophesies of a coming king who “will rule over many nations (</w:t>
      </w:r>
      <w:r>
        <w:rPr>
          <w:rFonts w:ascii="Gentium Plus" w:hAnsi="Gentium Plus" w:cs="Times New Roman"/>
          <w:lang w:val="el-GR"/>
        </w:rPr>
        <w:t>κυριεύσει ἐθνῶν πολλῶν</w:t>
      </w:r>
      <w:r>
        <w:rPr>
          <w:rFonts w:ascii="Cambria" w:hAnsi="Cambria" w:cs="Times New Roman"/>
        </w:rPr>
        <w:t xml:space="preserve">), and his kingdom </w:t>
      </w:r>
      <w:r>
        <w:rPr>
          <w:rFonts w:ascii="Gentium Plus" w:hAnsi="Gentium Plus" w:cs="Times New Roman"/>
          <w:lang w:val="el-GR"/>
        </w:rPr>
        <w:t>(βασιλεία αὐτοῦ)</w:t>
      </w:r>
      <w:r>
        <w:rPr>
          <w:rFonts w:ascii="Cambria" w:hAnsi="Cambria" w:cs="Times New Roman"/>
        </w:rPr>
        <w:t xml:space="preserve"> shall be exalted (</w:t>
      </w:r>
      <w:r>
        <w:rPr>
          <w:rFonts w:ascii="Gentium Plus" w:hAnsi="Gentium Plus" w:cs="Times New Roman"/>
          <w:lang w:val="el-GR"/>
        </w:rPr>
        <w:t>ὑψωθήσεται</w:t>
      </w:r>
      <w:r>
        <w:rPr>
          <w:rFonts w:ascii="Cambria" w:hAnsi="Cambria" w:cs="Times New Roman"/>
        </w:rPr>
        <w:t>) above Gog, and his kingdom shall be increased (</w:t>
      </w:r>
      <w:r>
        <w:rPr>
          <w:rFonts w:ascii="Gentium Plus" w:hAnsi="Gentium Plus" w:cs="Times New Roman"/>
          <w:lang w:val="el-GR"/>
        </w:rPr>
        <w:t>αὐξηθήσεται ἡ βασιλεία αὐτοῦ</w:t>
      </w:r>
      <w:r>
        <w:rPr>
          <w:rFonts w:ascii="Cambria" w:hAnsi="Cambria" w:cs="Times New Roman"/>
        </w:rPr>
        <w:t>)” (24:7). This royal figure will “destroy the rulers of Moab, will plunder all the sons of Seth, and Edom will be his inheritance, and his enemy Esau will be his inheritance, for Israel has acted with strength” (24:17b-18).</w:t>
      </w:r>
      <w:r>
        <w:rPr>
          <w:rStyle w:val="FootnoteReference"/>
          <w:rFonts w:ascii="Cambria" w:hAnsi="Cambria" w:cs="Times New Roman"/>
        </w:rPr>
        <w:footnoteReference w:id="82"/>
      </w:r>
      <w:r>
        <w:rPr>
          <w:rFonts w:ascii="Cambria" w:hAnsi="Cambria" w:cs="Times New Roman"/>
        </w:rPr>
        <w:t xml:space="preserve">  In short, the king’s dominion will be all encompassing.  For this reason, royal honors are befitting for him: “the glories of rulers are in him” (</w:t>
      </w:r>
      <w:r>
        <w:rPr>
          <w:rFonts w:ascii="Gentium Plus" w:hAnsi="Gentium Plus" w:cs="Times New Roman"/>
          <w:lang w:val="el-GR"/>
        </w:rPr>
        <w:t>τὰ ἔνδοξα ἀρχόντων ἐν αὐτῷ</w:t>
      </w:r>
      <w:r>
        <w:rPr>
          <w:rFonts w:ascii="Cambria" w:hAnsi="Cambria" w:cs="Times New Roman"/>
        </w:rPr>
        <w:t>, 23</w:t>
      </w:r>
      <w:r w:rsidR="00FE12B2">
        <w:rPr>
          <w:rFonts w:ascii="Cambria" w:hAnsi="Cambria" w:cs="Times New Roman"/>
        </w:rPr>
        <w:t xml:space="preserve">:21). </w:t>
      </w:r>
      <w:r>
        <w:rPr>
          <w:rFonts w:ascii="Cambria" w:hAnsi="Cambria" w:cs="Times New Roman"/>
        </w:rPr>
        <w:t>And in the Song of Moses in LXX Deuteronomy 33, Moses prophesies of a time when there “will be a ruler in the beloved one” (</w:t>
      </w:r>
      <w:r>
        <w:rPr>
          <w:rFonts w:ascii="Gentium Plus" w:hAnsi="Gentium Plus" w:cs="Times New Roman"/>
          <w:lang w:val="el-GR"/>
        </w:rPr>
        <w:t>ἔσται ἐν τῷ ἠγαπημένῳ ἄρχων</w:t>
      </w:r>
      <w:r>
        <w:rPr>
          <w:rFonts w:ascii="Cambria" w:hAnsi="Cambria" w:cs="Times New Roman"/>
        </w:rPr>
        <w:t>, v. 5a).</w:t>
      </w:r>
      <w:r w:rsidR="00B35F00">
        <w:rPr>
          <w:rStyle w:val="FootnoteReference"/>
          <w:rFonts w:ascii="Cambria" w:hAnsi="Cambria" w:cs="Times New Roman"/>
        </w:rPr>
        <w:footnoteReference w:id="83"/>
      </w:r>
      <w:r w:rsidR="00FE12B2">
        <w:rPr>
          <w:rFonts w:ascii="Cambria" w:hAnsi="Cambria" w:cs="Times New Roman"/>
        </w:rPr>
        <w:t xml:space="preserve">  The “ruler” likely </w:t>
      </w:r>
      <w:r>
        <w:rPr>
          <w:rFonts w:ascii="Cambria" w:hAnsi="Cambria" w:cs="Times New Roman"/>
        </w:rPr>
        <w:t>refers to a coming Israelite king in the midst of Isr</w:t>
      </w:r>
      <w:r w:rsidR="00FE12B2">
        <w:rPr>
          <w:rFonts w:ascii="Cambria" w:hAnsi="Cambria" w:cs="Times New Roman"/>
        </w:rPr>
        <w:t>ael</w:t>
      </w:r>
      <w:r>
        <w:rPr>
          <w:rFonts w:ascii="Cambria" w:hAnsi="Cambria" w:cs="Times New Roman"/>
        </w:rPr>
        <w:t>.</w:t>
      </w:r>
      <w:r>
        <w:rPr>
          <w:rStyle w:val="FootnoteReference"/>
          <w:rFonts w:ascii="Cambria" w:hAnsi="Cambria" w:cs="Times New Roman"/>
        </w:rPr>
        <w:footnoteReference w:id="84"/>
      </w:r>
      <w:r>
        <w:rPr>
          <w:rFonts w:ascii="Cambria" w:hAnsi="Cambria" w:cs="Times New Roman"/>
        </w:rPr>
        <w:t xml:space="preserve"> </w:t>
      </w:r>
    </w:p>
    <w:p w14:paraId="18DC0E4B" w14:textId="55563ABA" w:rsidR="00115C53" w:rsidRDefault="00BE735C" w:rsidP="00115C53">
      <w:pPr>
        <w:spacing w:before="100" w:beforeAutospacing="1" w:after="100" w:afterAutospacing="1" w:line="480" w:lineRule="auto"/>
        <w:ind w:firstLine="720"/>
        <w:jc w:val="both"/>
        <w:rPr>
          <w:rFonts w:ascii="Cambria" w:hAnsi="Cambria" w:cs="Times New Roman"/>
        </w:rPr>
      </w:pPr>
      <w:r>
        <w:rPr>
          <w:rFonts w:ascii="Cambria" w:hAnsi="Cambria" w:cs="Times New Roman"/>
        </w:rPr>
        <w:t xml:space="preserve">From the Psalms and Pentateuch, we have seen </w:t>
      </w:r>
      <w:r w:rsidR="000E6B27">
        <w:rPr>
          <w:rFonts w:ascii="Cambria" w:hAnsi="Cambria" w:cs="Times New Roman"/>
        </w:rPr>
        <w:t>Israel’s</w:t>
      </w:r>
      <w:r>
        <w:rPr>
          <w:rFonts w:ascii="Cambria" w:hAnsi="Cambria" w:cs="Times New Roman"/>
        </w:rPr>
        <w:t xml:space="preserve"> </w:t>
      </w:r>
      <w:r w:rsidR="00401DAC">
        <w:rPr>
          <w:rFonts w:ascii="Cambria" w:hAnsi="Cambria" w:cs="Times New Roman"/>
        </w:rPr>
        <w:t xml:space="preserve">king praised </w:t>
      </w:r>
      <w:r>
        <w:rPr>
          <w:rFonts w:ascii="Cambria" w:hAnsi="Cambria" w:cs="Times New Roman"/>
        </w:rPr>
        <w:t>through the address of a hymn (Ps. 44), the promise of sharing God’s throne and worldwide dominion (Pss. 89; 109; Num. 24:7, 17-18), the promise of worship and obeisance</w:t>
      </w:r>
      <w:r w:rsidR="00401DAC">
        <w:rPr>
          <w:rFonts w:ascii="Cambria" w:hAnsi="Cambria" w:cs="Times New Roman"/>
        </w:rPr>
        <w:t xml:space="preserve"> </w:t>
      </w:r>
      <w:r>
        <w:rPr>
          <w:rFonts w:ascii="Cambria" w:hAnsi="Cambria" w:cs="Times New Roman"/>
        </w:rPr>
        <w:t xml:space="preserve">(Ps. 71:11; Gen. 49:8; Num. 23:21), and the acclamations of “God” (Ps. 44:7) and “Lord” (Ps. 109:1). </w:t>
      </w:r>
      <w:r w:rsidR="00401DAC">
        <w:rPr>
          <w:rFonts w:ascii="Cambria" w:hAnsi="Cambria" w:cs="Times New Roman"/>
        </w:rPr>
        <w:t>M</w:t>
      </w:r>
      <w:r w:rsidR="009919C7">
        <w:rPr>
          <w:rFonts w:ascii="Cambria" w:hAnsi="Cambria" w:cs="Times New Roman"/>
        </w:rPr>
        <w:t>ost remarkable is the extensive overlap between God’s dominion and the King’s dominion over creation resulting in an almost God-like depiction of Israel’s ruler.</w:t>
      </w:r>
      <w:r w:rsidR="00B35F00">
        <w:rPr>
          <w:rFonts w:ascii="Cambria" w:hAnsi="Cambria" w:cs="Times New Roman"/>
        </w:rPr>
        <w:t xml:space="preserve">  God’s royal rule over the entirety of creation is the basis for the king’s participation in ruling and sustaining the cosmos.</w:t>
      </w:r>
      <w:r>
        <w:rPr>
          <w:rFonts w:ascii="Cambria" w:hAnsi="Cambria" w:cs="Times New Roman"/>
        </w:rPr>
        <w:t xml:space="preserve"> The relationship between God and King illuminates</w:t>
      </w:r>
      <w:r w:rsidR="00401DAC">
        <w:rPr>
          <w:rFonts w:ascii="Cambria" w:hAnsi="Cambria" w:cs="Times New Roman"/>
        </w:rPr>
        <w:t xml:space="preserve"> </w:t>
      </w:r>
      <w:r w:rsidR="00115C53">
        <w:rPr>
          <w:rFonts w:ascii="Cambria" w:hAnsi="Cambria" w:cs="Times New Roman"/>
        </w:rPr>
        <w:t>the Chronicler’s</w:t>
      </w:r>
      <w:r w:rsidR="00475E35">
        <w:rPr>
          <w:rFonts w:ascii="Cambria" w:hAnsi="Cambria" w:cs="Times New Roman"/>
        </w:rPr>
        <w:t xml:space="preserve"> surprising</w:t>
      </w:r>
      <w:r w:rsidR="00115C53">
        <w:rPr>
          <w:rFonts w:ascii="Cambria" w:hAnsi="Cambria" w:cs="Times New Roman"/>
        </w:rPr>
        <w:t xml:space="preserve"> depiction of the Lord and </w:t>
      </w:r>
      <w:r w:rsidR="00260097">
        <w:rPr>
          <w:rFonts w:ascii="Cambria" w:hAnsi="Cambria" w:cs="Times New Roman"/>
        </w:rPr>
        <w:t xml:space="preserve">King </w:t>
      </w:r>
      <w:r w:rsidR="00115C53">
        <w:rPr>
          <w:rFonts w:ascii="Cambria" w:hAnsi="Cambria" w:cs="Times New Roman"/>
        </w:rPr>
        <w:t xml:space="preserve">David </w:t>
      </w:r>
      <w:r>
        <w:rPr>
          <w:rFonts w:ascii="Cambria" w:hAnsi="Cambria" w:cs="Times New Roman"/>
        </w:rPr>
        <w:t xml:space="preserve">both </w:t>
      </w:r>
      <w:r w:rsidR="00115C53">
        <w:rPr>
          <w:rFonts w:ascii="Cambria" w:hAnsi="Cambria" w:cs="Times New Roman"/>
        </w:rPr>
        <w:t xml:space="preserve">receiving </w:t>
      </w:r>
      <w:r>
        <w:rPr>
          <w:rFonts w:ascii="Cambria" w:hAnsi="Cambria" w:cs="Times New Roman"/>
        </w:rPr>
        <w:t>worship</w:t>
      </w:r>
      <w:r w:rsidR="00115C53">
        <w:rPr>
          <w:rFonts w:ascii="Cambria" w:hAnsi="Cambria" w:cs="Times New Roman"/>
        </w:rPr>
        <w:t>.</w:t>
      </w:r>
    </w:p>
    <w:p w14:paraId="6C90A8AE" w14:textId="59EB26D5" w:rsidR="00115C53" w:rsidRDefault="00115C53" w:rsidP="00115C53">
      <w:pPr>
        <w:spacing w:before="100" w:beforeAutospacing="1" w:after="100" w:afterAutospacing="1"/>
        <w:ind w:left="720" w:right="720"/>
        <w:jc w:val="both"/>
        <w:rPr>
          <w:rFonts w:ascii="Cambria" w:hAnsi="Cambria" w:cs="Times New Roman"/>
        </w:rPr>
      </w:pPr>
      <w:r>
        <w:rPr>
          <w:rFonts w:ascii="Cambria" w:hAnsi="Cambria" w:cs="Times New Roman"/>
        </w:rPr>
        <w:t>Then David said to the whole assembly, ‘Bless the Lord your God (</w:t>
      </w:r>
      <w:r>
        <w:rPr>
          <w:rFonts w:ascii="Gentium Plus" w:hAnsi="Gentium Plus" w:cs="Times New Roman"/>
          <w:lang w:val="el-GR"/>
        </w:rPr>
        <w:t>Εὐλογήσατε κύριον τὸν θὲον</w:t>
      </w:r>
      <w:r>
        <w:rPr>
          <w:rFonts w:ascii="Cambria" w:hAnsi="Cambria" w:cs="Times New Roman"/>
        </w:rPr>
        <w:t xml:space="preserve">).’ And all the assembly blessed the Lord, the God of their ancestors, and bowed their heads and prostrated themselves before the Lord </w:t>
      </w:r>
      <w:r w:rsidRPr="00115C53">
        <w:rPr>
          <w:rFonts w:ascii="Cambria" w:hAnsi="Cambria" w:cs="Times New Roman"/>
          <w:i/>
          <w:iCs/>
        </w:rPr>
        <w:t>and the king</w:t>
      </w:r>
      <w:r>
        <w:rPr>
          <w:rFonts w:ascii="Cambria" w:hAnsi="Cambria" w:cs="Times New Roman"/>
          <w:i/>
          <w:iCs/>
        </w:rPr>
        <w:t xml:space="preserve"> </w:t>
      </w:r>
      <w:r>
        <w:rPr>
          <w:rFonts w:ascii="Cambria" w:hAnsi="Cambria" w:cs="Times New Roman"/>
          <w:iCs/>
        </w:rPr>
        <w:t>(</w:t>
      </w:r>
      <w:r>
        <w:rPr>
          <w:rFonts w:ascii="Gentium Plus" w:hAnsi="Gentium Plus" w:cs="Times New Roman"/>
          <w:iCs/>
          <w:lang w:val="el-GR"/>
        </w:rPr>
        <w:t>καὶ εὐλόγησεν πᾶσα ἡ ἐκκλησία κύριον τὸν θεὸν τῶν πατέρων αὐτῶν καὶ κάμψαντες τὰ γόνατα προσεκύνησαν τῷ κυρίῳ καὶ τῷ βασιλεῖ</w:t>
      </w:r>
      <w:r>
        <w:rPr>
          <w:rFonts w:ascii="Cambria" w:hAnsi="Cambria" w:cs="Times New Roman"/>
          <w:iCs/>
        </w:rPr>
        <w:t>)</w:t>
      </w:r>
      <w:r>
        <w:rPr>
          <w:rFonts w:ascii="Cambria" w:hAnsi="Cambria" w:cs="Times New Roman"/>
          <w:i/>
          <w:iCs/>
        </w:rPr>
        <w:t xml:space="preserve">. </w:t>
      </w:r>
      <w:r>
        <w:rPr>
          <w:rFonts w:ascii="Cambria" w:hAnsi="Cambria" w:cs="Times New Roman"/>
          <w:iCs/>
        </w:rPr>
        <w:t xml:space="preserve">…. The Lord highly exalted </w:t>
      </w:r>
      <w:r>
        <w:rPr>
          <w:rFonts w:ascii="Gentium Plus" w:hAnsi="Gentium Plus" w:cs="Times New Roman"/>
          <w:iCs/>
        </w:rPr>
        <w:t>(</w:t>
      </w:r>
      <w:r>
        <w:rPr>
          <w:rFonts w:ascii="Gentium Plus" w:hAnsi="Gentium Plus" w:cs="Times New Roman"/>
          <w:iCs/>
          <w:lang w:val="el-GR"/>
        </w:rPr>
        <w:t>ἐμεγάλυνεν κύριος</w:t>
      </w:r>
      <w:r>
        <w:rPr>
          <w:rFonts w:ascii="Gentium Plus" w:hAnsi="Gentium Plus" w:cs="Times New Roman"/>
          <w:iCs/>
        </w:rPr>
        <w:t xml:space="preserve">) </w:t>
      </w:r>
      <w:r>
        <w:rPr>
          <w:rFonts w:ascii="Cambria" w:hAnsi="Cambria" w:cs="Times New Roman"/>
          <w:iCs/>
        </w:rPr>
        <w:t>Solomon in the sight of all Israel, and bestowed upon him such royal majesty (</w:t>
      </w:r>
      <w:r>
        <w:rPr>
          <w:rFonts w:ascii="Gentium Plus" w:hAnsi="Gentium Plus" w:cs="Times New Roman"/>
          <w:iCs/>
          <w:lang w:val="el-GR"/>
        </w:rPr>
        <w:t>ἔδωκεν αὐτῷ δόξαν βασιλέως</w:t>
      </w:r>
      <w:r>
        <w:rPr>
          <w:rFonts w:ascii="Cambria" w:hAnsi="Cambria" w:cs="Times New Roman"/>
          <w:iCs/>
        </w:rPr>
        <w:t>) as had not been on any king before him in Israel</w:t>
      </w:r>
      <w:r>
        <w:rPr>
          <w:rFonts w:ascii="Cambria" w:hAnsi="Cambria" w:cs="Times New Roman"/>
        </w:rPr>
        <w:t xml:space="preserve"> (1 Chron. 29:20, 25).</w:t>
      </w:r>
    </w:p>
    <w:p w14:paraId="7361682F" w14:textId="42A9DB81" w:rsidR="00B35F00" w:rsidRDefault="00115C53" w:rsidP="00115C53">
      <w:pPr>
        <w:spacing w:before="100" w:beforeAutospacing="1" w:after="100" w:afterAutospacing="1" w:line="480" w:lineRule="auto"/>
        <w:jc w:val="both"/>
        <w:rPr>
          <w:rFonts w:ascii="Cambria" w:hAnsi="Cambria" w:cs="Times New Roman"/>
        </w:rPr>
      </w:pPr>
      <w:r>
        <w:rPr>
          <w:rFonts w:ascii="Cambria" w:hAnsi="Cambria" w:cs="Times New Roman"/>
        </w:rPr>
        <w:t>The Chronicle</w:t>
      </w:r>
      <w:r w:rsidR="00401DAC">
        <w:rPr>
          <w:rFonts w:ascii="Cambria" w:hAnsi="Cambria" w:cs="Times New Roman"/>
        </w:rPr>
        <w:t>r</w:t>
      </w:r>
      <w:r>
        <w:rPr>
          <w:rFonts w:ascii="Cambria" w:hAnsi="Cambria" w:cs="Times New Roman"/>
        </w:rPr>
        <w:t>s’ depiction, not unlike what has been observed with Hellenistic and Roman rulers, indicates that b</w:t>
      </w:r>
      <w:r w:rsidR="00401DAC">
        <w:rPr>
          <w:rFonts w:ascii="Cambria" w:hAnsi="Cambria" w:cs="Times New Roman"/>
        </w:rPr>
        <w:t xml:space="preserve">ecause of </w:t>
      </w:r>
      <w:r>
        <w:rPr>
          <w:rFonts w:ascii="Cambria" w:hAnsi="Cambria" w:cs="Times New Roman"/>
        </w:rPr>
        <w:t>God’s investiture of g</w:t>
      </w:r>
      <w:r w:rsidR="00E71E6D">
        <w:rPr>
          <w:rFonts w:ascii="Cambria" w:hAnsi="Cambria" w:cs="Times New Roman"/>
        </w:rPr>
        <w:t xml:space="preserve">lory and dominion to the </w:t>
      </w:r>
      <w:r>
        <w:rPr>
          <w:rFonts w:ascii="Cambria" w:hAnsi="Cambria" w:cs="Times New Roman"/>
        </w:rPr>
        <w:t>David</w:t>
      </w:r>
      <w:r w:rsidR="00E71E6D">
        <w:rPr>
          <w:rFonts w:ascii="Cambria" w:hAnsi="Cambria" w:cs="Times New Roman"/>
        </w:rPr>
        <w:t>ic king</w:t>
      </w:r>
      <w:r>
        <w:rPr>
          <w:rFonts w:ascii="Cambria" w:hAnsi="Cambria" w:cs="Times New Roman"/>
        </w:rPr>
        <w:t>, the earthly king is able to receive the same honors as God.</w:t>
      </w:r>
      <w:r>
        <w:rPr>
          <w:rStyle w:val="FootnoteReference"/>
          <w:rFonts w:ascii="Cambria" w:hAnsi="Cambria" w:cs="Times New Roman"/>
        </w:rPr>
        <w:footnoteReference w:id="85"/>
      </w:r>
      <w:r w:rsidR="00401DAC">
        <w:rPr>
          <w:rFonts w:ascii="Cambria" w:hAnsi="Cambria" w:cs="Times New Roman"/>
        </w:rPr>
        <w:t xml:space="preserve"> </w:t>
      </w:r>
      <w:r w:rsidR="00260097">
        <w:rPr>
          <w:rFonts w:ascii="Cambria" w:hAnsi="Cambria" w:cs="Times New Roman"/>
        </w:rPr>
        <w:t xml:space="preserve"> So closely identified with God is the king that he is able to receive</w:t>
      </w:r>
      <w:r w:rsidR="00E71E6D">
        <w:rPr>
          <w:rFonts w:ascii="Cambria" w:hAnsi="Cambria" w:cs="Times New Roman"/>
        </w:rPr>
        <w:t xml:space="preserve"> the</w:t>
      </w:r>
      <w:r w:rsidR="00260097">
        <w:rPr>
          <w:rFonts w:ascii="Cambria" w:hAnsi="Cambria" w:cs="Times New Roman"/>
        </w:rPr>
        <w:t xml:space="preserve"> worship reserved for God.</w:t>
      </w:r>
      <w:r w:rsidR="00260097">
        <w:rPr>
          <w:rStyle w:val="FootnoteReference"/>
          <w:rFonts w:ascii="Cambria" w:hAnsi="Cambria" w:cs="Times New Roman"/>
        </w:rPr>
        <w:footnoteReference w:id="86"/>
      </w:r>
      <w:r w:rsidR="00E71E6D">
        <w:rPr>
          <w:rFonts w:ascii="Cambria" w:hAnsi="Cambria" w:cs="Times New Roman"/>
        </w:rPr>
        <w:t xml:space="preserve"> T</w:t>
      </w:r>
      <w:r w:rsidR="00260097">
        <w:rPr>
          <w:rFonts w:ascii="Cambria" w:hAnsi="Cambria" w:cs="Times New Roman"/>
        </w:rPr>
        <w:t>he author, like the Psalmist</w:t>
      </w:r>
      <w:r w:rsidR="00BE735C">
        <w:rPr>
          <w:rFonts w:ascii="Cambria" w:hAnsi="Cambria" w:cs="Times New Roman"/>
        </w:rPr>
        <w:t xml:space="preserve"> (e.g., </w:t>
      </w:r>
      <w:r w:rsidR="00260097">
        <w:rPr>
          <w:rFonts w:ascii="Cambria" w:hAnsi="Cambria" w:cs="Times New Roman"/>
        </w:rPr>
        <w:t>Ps. 44:7</w:t>
      </w:r>
      <w:r w:rsidR="00401DAC">
        <w:rPr>
          <w:rFonts w:ascii="Cambria" w:hAnsi="Cambria" w:cs="Times New Roman"/>
        </w:rPr>
        <w:t>; 109</w:t>
      </w:r>
      <w:r w:rsidR="00260097">
        <w:rPr>
          <w:rFonts w:ascii="Cambria" w:hAnsi="Cambria" w:cs="Times New Roman"/>
        </w:rPr>
        <w:t>), notes that the son of David shares God’s throne: “Solomon sat on the throne of the Lord, succeeding his father David as king; he prospered, and all Israel obeyed him” (1 Chron. 29:23).</w:t>
      </w:r>
      <w:r w:rsidR="00260097">
        <w:rPr>
          <w:rStyle w:val="FootnoteReference"/>
          <w:rFonts w:ascii="Cambria" w:hAnsi="Cambria" w:cs="Times New Roman"/>
        </w:rPr>
        <w:footnoteReference w:id="87"/>
      </w:r>
      <w:r w:rsidR="009919C7">
        <w:rPr>
          <w:rFonts w:ascii="Cambria" w:hAnsi="Cambria" w:cs="Times New Roman"/>
        </w:rPr>
        <w:t xml:space="preserve"> Earlier the Chronicler has had David declare that the Lord “has chosen my son Solomon to sit upon the throne of the kingdom of the Lord over Israel (</w:t>
      </w:r>
      <w:r w:rsidR="009919C7">
        <w:rPr>
          <w:rFonts w:ascii="Gentium Plus" w:hAnsi="Gentium Plus" w:cs="Times New Roman"/>
          <w:lang w:val="el-GR"/>
        </w:rPr>
        <w:t>καθίσαι αὐτὸν ἐπὶ θρόνου βασιλείας κυρίου ἐπὶ τὸν Ισραηλ</w:t>
      </w:r>
      <w:r w:rsidR="009919C7">
        <w:rPr>
          <w:rFonts w:ascii="Cambria" w:hAnsi="Cambria" w:cs="Times New Roman"/>
        </w:rPr>
        <w:t>)” (1 Chron. 28:5b).</w:t>
      </w:r>
      <w:r w:rsidR="009919C7">
        <w:rPr>
          <w:rStyle w:val="FootnoteReference"/>
          <w:rFonts w:ascii="Cambria" w:hAnsi="Cambria" w:cs="Times New Roman"/>
        </w:rPr>
        <w:footnoteReference w:id="88"/>
      </w:r>
      <w:r w:rsidR="00260097">
        <w:rPr>
          <w:rFonts w:ascii="Cambria" w:hAnsi="Cambria" w:cs="Times New Roman"/>
        </w:rPr>
        <w:t xml:space="preserve"> It is this </w:t>
      </w:r>
      <w:r w:rsidR="009919C7">
        <w:rPr>
          <w:rFonts w:ascii="Cambria" w:hAnsi="Cambria" w:cs="Times New Roman"/>
        </w:rPr>
        <w:t>sharing</w:t>
      </w:r>
      <w:r w:rsidR="00260097">
        <w:rPr>
          <w:rFonts w:ascii="Cambria" w:hAnsi="Cambria" w:cs="Times New Roman"/>
        </w:rPr>
        <w:t xml:space="preserve"> of </w:t>
      </w:r>
      <w:r w:rsidR="00260097" w:rsidRPr="009919C7">
        <w:rPr>
          <w:rFonts w:ascii="Cambria" w:hAnsi="Cambria" w:cs="Times New Roman"/>
          <w:i/>
        </w:rPr>
        <w:t>God’s throne</w:t>
      </w:r>
      <w:r w:rsidR="00260097">
        <w:rPr>
          <w:rFonts w:ascii="Cambria" w:hAnsi="Cambria" w:cs="Times New Roman"/>
        </w:rPr>
        <w:t xml:space="preserve"> that enables the king to share in God’</w:t>
      </w:r>
      <w:r w:rsidR="00401DAC">
        <w:rPr>
          <w:rFonts w:ascii="Cambria" w:hAnsi="Cambria" w:cs="Times New Roman"/>
        </w:rPr>
        <w:t xml:space="preserve">s reign and </w:t>
      </w:r>
      <w:r w:rsidR="00260097">
        <w:rPr>
          <w:rFonts w:ascii="Cambria" w:hAnsi="Cambria" w:cs="Times New Roman"/>
        </w:rPr>
        <w:t xml:space="preserve">to receive both worship and obedience </w:t>
      </w:r>
      <w:r w:rsidR="009919C7">
        <w:rPr>
          <w:rFonts w:ascii="Cambria" w:hAnsi="Cambria" w:cs="Times New Roman"/>
        </w:rPr>
        <w:t xml:space="preserve">as God’s earthly ruler </w:t>
      </w:r>
      <w:r w:rsidR="00260097">
        <w:rPr>
          <w:rFonts w:ascii="Cambria" w:hAnsi="Cambria" w:cs="Times New Roman"/>
        </w:rPr>
        <w:t>(29:20, 23).</w:t>
      </w:r>
      <w:r w:rsidR="00B35F00">
        <w:rPr>
          <w:rStyle w:val="FootnoteReference"/>
          <w:rFonts w:ascii="Cambria" w:hAnsi="Cambria" w:cs="Times New Roman"/>
        </w:rPr>
        <w:footnoteReference w:id="89"/>
      </w:r>
      <w:r w:rsidR="00B35F00">
        <w:rPr>
          <w:rFonts w:ascii="Cambria" w:hAnsi="Cambria" w:cs="Times New Roman"/>
        </w:rPr>
        <w:t xml:space="preserve"> </w:t>
      </w:r>
    </w:p>
    <w:p w14:paraId="1DBC91BF" w14:textId="5B0617F8" w:rsidR="00401DAC" w:rsidRPr="006C6E9A" w:rsidRDefault="00401DAC" w:rsidP="00401DAC">
      <w:pPr>
        <w:spacing w:before="100" w:beforeAutospacing="1" w:after="100" w:afterAutospacing="1" w:line="480" w:lineRule="auto"/>
        <w:jc w:val="center"/>
        <w:rPr>
          <w:rFonts w:ascii="Cambria" w:hAnsi="Cambria" w:cs="Times New Roman"/>
          <w:i/>
          <w:u w:val="single"/>
        </w:rPr>
      </w:pPr>
      <w:r w:rsidRPr="006C6E9A">
        <w:rPr>
          <w:rFonts w:ascii="Cambria" w:hAnsi="Cambria" w:cs="Times New Roman"/>
          <w:i/>
          <w:u w:val="single"/>
        </w:rPr>
        <w:t>e. Praising Kings and Rulers</w:t>
      </w:r>
    </w:p>
    <w:p w14:paraId="1613741E" w14:textId="68BFDEC4" w:rsidR="00BC49A6" w:rsidRPr="00401DAC" w:rsidRDefault="00401DAC" w:rsidP="00401DAC">
      <w:pPr>
        <w:spacing w:before="100" w:beforeAutospacing="1" w:after="100" w:afterAutospacing="1" w:line="480" w:lineRule="auto"/>
        <w:jc w:val="both"/>
        <w:rPr>
          <w:rFonts w:ascii="Cambria" w:hAnsi="Cambria" w:cs="Times New Roman"/>
        </w:rPr>
      </w:pPr>
      <w:r>
        <w:rPr>
          <w:rFonts w:ascii="Cambria" w:hAnsi="Cambria" w:cs="Times New Roman"/>
        </w:rPr>
        <w:t xml:space="preserve">From the </w:t>
      </w:r>
      <w:r w:rsidR="008C3C69">
        <w:rPr>
          <w:rFonts w:ascii="Cambria" w:hAnsi="Cambria" w:cs="Times New Roman"/>
        </w:rPr>
        <w:t>preceding examination we have seen that h</w:t>
      </w:r>
      <w:r w:rsidR="00FE12B2">
        <w:rPr>
          <w:rFonts w:ascii="Cambria" w:hAnsi="Cambria" w:cs="Times New Roman"/>
        </w:rPr>
        <w:t>ymns for</w:t>
      </w:r>
      <w:r>
        <w:rPr>
          <w:rFonts w:ascii="Cambria" w:hAnsi="Cambria" w:cs="Times New Roman"/>
        </w:rPr>
        <w:t xml:space="preserve"> kings and rulers was widespread throughout the ancient world as a way of bestowing honors upon kings. </w:t>
      </w:r>
      <w:r w:rsidR="00FE12B2">
        <w:rPr>
          <w:rFonts w:ascii="Cambria" w:hAnsi="Cambria" w:cs="Times New Roman"/>
        </w:rPr>
        <w:t>T</w:t>
      </w:r>
      <w:r w:rsidR="0098798C">
        <w:rPr>
          <w:rFonts w:ascii="Cambria" w:hAnsi="Cambria" w:cs="Times New Roman"/>
        </w:rPr>
        <w:t xml:space="preserve">hese hymnic </w:t>
      </w:r>
      <w:r w:rsidR="00475E35">
        <w:rPr>
          <w:rFonts w:ascii="Cambria" w:hAnsi="Cambria" w:cs="Times New Roman"/>
        </w:rPr>
        <w:t xml:space="preserve">honors are </w:t>
      </w:r>
      <w:r>
        <w:rPr>
          <w:rFonts w:ascii="Cambria" w:hAnsi="Cambria" w:cs="Times New Roman"/>
        </w:rPr>
        <w:t>bestowed</w:t>
      </w:r>
      <w:r w:rsidR="00336925">
        <w:rPr>
          <w:rFonts w:ascii="Cambria" w:hAnsi="Cambria" w:cs="Times New Roman"/>
        </w:rPr>
        <w:t xml:space="preserve"> in response to </w:t>
      </w:r>
      <w:r w:rsidR="00475E35">
        <w:rPr>
          <w:rFonts w:ascii="Cambria" w:hAnsi="Cambria" w:cs="Times New Roman"/>
        </w:rPr>
        <w:t xml:space="preserve">the belief that the king is the visible representation of God, who rules and sustains the cosmos, and has benefited his subjects through great </w:t>
      </w:r>
      <w:r w:rsidR="00336925">
        <w:rPr>
          <w:rFonts w:ascii="Cambria" w:hAnsi="Cambria" w:cs="Times New Roman"/>
        </w:rPr>
        <w:t>benefactio</w:t>
      </w:r>
      <w:r w:rsidR="00475E35">
        <w:rPr>
          <w:rFonts w:ascii="Cambria" w:hAnsi="Cambria" w:cs="Times New Roman"/>
        </w:rPr>
        <w:t>ns.</w:t>
      </w:r>
      <w:r>
        <w:rPr>
          <w:rFonts w:ascii="Cambria" w:hAnsi="Cambria" w:cs="Times New Roman"/>
        </w:rPr>
        <w:t xml:space="preserve">  The praise, then, is a way of </w:t>
      </w:r>
      <w:r w:rsidR="00336925">
        <w:rPr>
          <w:rFonts w:ascii="Cambria" w:hAnsi="Cambria" w:cs="Times New Roman"/>
        </w:rPr>
        <w:t>giving divine honors to a king who</w:t>
      </w:r>
      <w:r>
        <w:rPr>
          <w:rFonts w:ascii="Cambria" w:hAnsi="Cambria" w:cs="Times New Roman"/>
        </w:rPr>
        <w:t xml:space="preserve"> has granted </w:t>
      </w:r>
      <w:r w:rsidR="00475E35">
        <w:rPr>
          <w:rFonts w:ascii="Cambria" w:hAnsi="Cambria" w:cs="Times New Roman"/>
        </w:rPr>
        <w:t>gifts to his subjects. G</w:t>
      </w:r>
      <w:r>
        <w:rPr>
          <w:rFonts w:ascii="Cambria" w:hAnsi="Cambria" w:cs="Times New Roman"/>
        </w:rPr>
        <w:t>iven that</w:t>
      </w:r>
      <w:r w:rsidR="00475E35">
        <w:rPr>
          <w:rFonts w:ascii="Cambria" w:hAnsi="Cambria" w:cs="Times New Roman"/>
        </w:rPr>
        <w:t xml:space="preserve"> ancient</w:t>
      </w:r>
      <w:r>
        <w:rPr>
          <w:rFonts w:ascii="Cambria" w:hAnsi="Cambria" w:cs="Times New Roman"/>
        </w:rPr>
        <w:t xml:space="preserve"> kingship ideology stressed the </w:t>
      </w:r>
      <w:r w:rsidR="00974AAB">
        <w:rPr>
          <w:rFonts w:ascii="Cambria" w:hAnsi="Cambria" w:cs="Times New Roman"/>
        </w:rPr>
        <w:t xml:space="preserve">close </w:t>
      </w:r>
      <w:r>
        <w:rPr>
          <w:rFonts w:ascii="Cambria" w:hAnsi="Cambria" w:cs="Times New Roman"/>
        </w:rPr>
        <w:t xml:space="preserve">relationship between the god(s) and the king, and in light of the benefactions-for-honor system, the praises </w:t>
      </w:r>
      <w:r w:rsidR="00974AAB">
        <w:rPr>
          <w:rFonts w:ascii="Cambria" w:hAnsi="Cambria" w:cs="Times New Roman"/>
        </w:rPr>
        <w:t>often</w:t>
      </w:r>
      <w:r>
        <w:rPr>
          <w:rFonts w:ascii="Cambria" w:hAnsi="Cambria" w:cs="Times New Roman"/>
        </w:rPr>
        <w:t xml:space="preserve"> </w:t>
      </w:r>
      <w:r w:rsidR="00974AAB">
        <w:rPr>
          <w:rFonts w:ascii="Cambria" w:hAnsi="Cambria" w:cs="Times New Roman"/>
        </w:rPr>
        <w:t xml:space="preserve">speak of the king with </w:t>
      </w:r>
      <w:r>
        <w:rPr>
          <w:rFonts w:ascii="Cambria" w:hAnsi="Cambria" w:cs="Times New Roman"/>
        </w:rPr>
        <w:t xml:space="preserve">language usually reserved for the god(s). The king, then, is often portrayed as God’s earthly representative who shares his throne, shares divine honorifics and titles, and </w:t>
      </w:r>
      <w:r w:rsidR="00B35F00">
        <w:rPr>
          <w:rFonts w:ascii="Cambria" w:hAnsi="Cambria" w:cs="Times New Roman"/>
        </w:rPr>
        <w:t xml:space="preserve">perhaps most importantly </w:t>
      </w:r>
      <w:r>
        <w:rPr>
          <w:rFonts w:ascii="Cambria" w:hAnsi="Cambria" w:cs="Times New Roman"/>
        </w:rPr>
        <w:t xml:space="preserve">rules over </w:t>
      </w:r>
      <w:r w:rsidR="00B35F00">
        <w:rPr>
          <w:rFonts w:ascii="Cambria" w:hAnsi="Cambria" w:cs="Times New Roman"/>
        </w:rPr>
        <w:t xml:space="preserve">all of </w:t>
      </w:r>
      <w:r>
        <w:rPr>
          <w:rFonts w:ascii="Cambria" w:hAnsi="Cambria" w:cs="Times New Roman"/>
        </w:rPr>
        <w:t>creation on behalf of the god(s).</w:t>
      </w:r>
      <w:r w:rsidR="00974AAB">
        <w:rPr>
          <w:rFonts w:ascii="Cambria" w:hAnsi="Cambria" w:cs="Times New Roman"/>
        </w:rPr>
        <w:t xml:space="preserve"> The king establishes and maintains divine cosmic stability in his rule.</w:t>
      </w:r>
    </w:p>
    <w:p w14:paraId="035A588D" w14:textId="501A7CF5" w:rsidR="00BC49A6" w:rsidRDefault="008C3C69" w:rsidP="00BC49A6">
      <w:pPr>
        <w:spacing w:line="480" w:lineRule="auto"/>
        <w:jc w:val="center"/>
        <w:rPr>
          <w:bCs/>
          <w:u w:val="single"/>
        </w:rPr>
      </w:pPr>
      <w:r>
        <w:rPr>
          <w:bCs/>
          <w:u w:val="single"/>
        </w:rPr>
        <w:t xml:space="preserve">II. Colossians 1:15 – 20 as a Panegyric </w:t>
      </w:r>
      <w:r w:rsidR="00BC49A6">
        <w:rPr>
          <w:bCs/>
          <w:u w:val="single"/>
        </w:rPr>
        <w:t>to Christ the King</w:t>
      </w:r>
    </w:p>
    <w:p w14:paraId="3B1F0AFD" w14:textId="4705E0D2" w:rsidR="00345D06" w:rsidRDefault="00345D06" w:rsidP="00345D06">
      <w:pPr>
        <w:spacing w:line="480" w:lineRule="auto"/>
        <w:jc w:val="both"/>
        <w:rPr>
          <w:bCs/>
        </w:rPr>
      </w:pPr>
      <w:r>
        <w:rPr>
          <w:bCs/>
        </w:rPr>
        <w:t>My argument regarding Col. 1:15-20 is that the text is a royal encomium</w:t>
      </w:r>
      <w:r w:rsidR="009F262B">
        <w:rPr>
          <w:bCs/>
        </w:rPr>
        <w:t xml:space="preserve"> (</w:t>
      </w:r>
      <w:r w:rsidR="009F262B">
        <w:rPr>
          <w:rFonts w:ascii="Gentium Plus" w:hAnsi="Gentium Plus"/>
          <w:lang w:val="el-GR"/>
        </w:rPr>
        <w:t>ὁ βασιλικὸς λόγος</w:t>
      </w:r>
      <w:r w:rsidR="009F262B">
        <w:rPr>
          <w:bCs/>
        </w:rPr>
        <w:t>)</w:t>
      </w:r>
      <w:r>
        <w:rPr>
          <w:bCs/>
        </w:rPr>
        <w:t xml:space="preserve"> – perhaps best classified as a prose hymn</w:t>
      </w:r>
      <w:r w:rsidR="007954C3">
        <w:rPr>
          <w:rStyle w:val="FootnoteReference"/>
          <w:bCs/>
        </w:rPr>
        <w:footnoteReference w:id="90"/>
      </w:r>
      <w:r>
        <w:rPr>
          <w:bCs/>
        </w:rPr>
        <w:t xml:space="preserve"> –</w:t>
      </w:r>
      <w:r w:rsidR="009F262B">
        <w:rPr>
          <w:bCs/>
        </w:rPr>
        <w:t xml:space="preserve"> written</w:t>
      </w:r>
      <w:r>
        <w:rPr>
          <w:bCs/>
        </w:rPr>
        <w:t xml:space="preserve"> to bestow praise upon the messianic king who</w:t>
      </w:r>
      <w:r w:rsidR="009F262B">
        <w:rPr>
          <w:bCs/>
        </w:rPr>
        <w:t>, in broad accordance with ancient kingship ideology</w:t>
      </w:r>
      <w:r>
        <w:rPr>
          <w:bCs/>
        </w:rPr>
        <w:t>: a) is God’s</w:t>
      </w:r>
      <w:r w:rsidR="009F262B">
        <w:rPr>
          <w:bCs/>
        </w:rPr>
        <w:t xml:space="preserve"> elected</w:t>
      </w:r>
      <w:r>
        <w:rPr>
          <w:bCs/>
        </w:rPr>
        <w:t xml:space="preserve"> royal</w:t>
      </w:r>
      <w:r w:rsidR="009F262B">
        <w:rPr>
          <w:bCs/>
        </w:rPr>
        <w:t xml:space="preserve"> (Davidic)</w:t>
      </w:r>
      <w:r>
        <w:rPr>
          <w:bCs/>
        </w:rPr>
        <w:t xml:space="preserve"> vicegerent, who b) creates, s</w:t>
      </w:r>
      <w:r w:rsidR="00A9768B">
        <w:rPr>
          <w:bCs/>
        </w:rPr>
        <w:t>ustains and rules over creation</w:t>
      </w:r>
      <w:r>
        <w:rPr>
          <w:bCs/>
        </w:rPr>
        <w:t>, and c)</w:t>
      </w:r>
      <w:r w:rsidR="009F262B">
        <w:rPr>
          <w:bCs/>
        </w:rPr>
        <w:t xml:space="preserve"> </w:t>
      </w:r>
      <w:r w:rsidR="00A9768B">
        <w:rPr>
          <w:bCs/>
        </w:rPr>
        <w:t xml:space="preserve">rules over his people and </w:t>
      </w:r>
      <w:r w:rsidR="009F262B">
        <w:rPr>
          <w:bCs/>
        </w:rPr>
        <w:t xml:space="preserve">establishes peace between </w:t>
      </w:r>
      <w:r w:rsidR="003E7A84">
        <w:rPr>
          <w:bCs/>
        </w:rPr>
        <w:t xml:space="preserve">them and God </w:t>
      </w:r>
      <w:r w:rsidR="009F262B">
        <w:rPr>
          <w:bCs/>
        </w:rPr>
        <w:t>by reconciling the entire cosmos to God.</w:t>
      </w:r>
      <w:r w:rsidR="00001CC5">
        <w:rPr>
          <w:rStyle w:val="FootnoteReference"/>
          <w:bCs/>
        </w:rPr>
        <w:footnoteReference w:id="91"/>
      </w:r>
      <w:r w:rsidR="00E4195B">
        <w:rPr>
          <w:bCs/>
        </w:rPr>
        <w:t xml:space="preserve"> </w:t>
      </w:r>
      <w:r w:rsidR="00C03BCC">
        <w:rPr>
          <w:bCs/>
        </w:rPr>
        <w:t xml:space="preserve"> </w:t>
      </w:r>
      <w:r w:rsidR="00E4195B">
        <w:rPr>
          <w:bCs/>
        </w:rPr>
        <w:t>These motifs are ubiquitous in ancient kingship ideology, and we have had occasion to witness them in the preceding discussion of hymns to rulers.</w:t>
      </w:r>
      <w:r w:rsidR="009F262B">
        <w:rPr>
          <w:bCs/>
        </w:rPr>
        <w:t xml:space="preserve"> </w:t>
      </w:r>
      <w:r w:rsidR="00312A12">
        <w:rPr>
          <w:bCs/>
        </w:rPr>
        <w:t xml:space="preserve">It </w:t>
      </w:r>
      <w:r w:rsidR="00312A12" w:rsidRPr="00312A12">
        <w:rPr>
          <w:bCs/>
          <w:i/>
          <w:iCs/>
        </w:rPr>
        <w:t>should</w:t>
      </w:r>
      <w:r w:rsidR="00312A12">
        <w:rPr>
          <w:bCs/>
        </w:rPr>
        <w:t xml:space="preserve"> go without saying that Christ’s supremacy, pre-eminence, and rule is emphasized throughout the hymn, whereas not one word is given to wisdom. </w:t>
      </w:r>
      <w:r w:rsidR="00475E35">
        <w:rPr>
          <w:bCs/>
        </w:rPr>
        <w:t>What remains now</w:t>
      </w:r>
      <w:r w:rsidR="00312A12">
        <w:rPr>
          <w:bCs/>
        </w:rPr>
        <w:t>, then,</w:t>
      </w:r>
      <w:r w:rsidR="006F6C00" w:rsidRPr="007A61CC">
        <w:rPr>
          <w:bCs/>
        </w:rPr>
        <w:t xml:space="preserve"> is to establish the presence</w:t>
      </w:r>
      <w:r w:rsidR="00312A12">
        <w:rPr>
          <w:bCs/>
        </w:rPr>
        <w:t xml:space="preserve"> (part II)</w:t>
      </w:r>
      <w:r w:rsidR="00E4195B">
        <w:rPr>
          <w:bCs/>
        </w:rPr>
        <w:t xml:space="preserve"> and function</w:t>
      </w:r>
      <w:r w:rsidR="00312A12">
        <w:rPr>
          <w:bCs/>
        </w:rPr>
        <w:t xml:space="preserve"> (part III)</w:t>
      </w:r>
      <w:r w:rsidR="006F6C00" w:rsidRPr="007A61CC">
        <w:rPr>
          <w:bCs/>
        </w:rPr>
        <w:t xml:space="preserve"> of these royal motifs within </w:t>
      </w:r>
      <w:r w:rsidR="00475E35">
        <w:rPr>
          <w:bCs/>
        </w:rPr>
        <w:t>the</w:t>
      </w:r>
      <w:r w:rsidR="006F6C00" w:rsidRPr="007A61CC">
        <w:rPr>
          <w:bCs/>
        </w:rPr>
        <w:t xml:space="preserve"> encomium.</w:t>
      </w:r>
      <w:r w:rsidR="00F974E8">
        <w:rPr>
          <w:bCs/>
        </w:rPr>
        <w:t xml:space="preserve"> </w:t>
      </w:r>
    </w:p>
    <w:p w14:paraId="2C0AFF7A" w14:textId="51E4766E" w:rsidR="006F6C00" w:rsidRPr="006C6E9A" w:rsidRDefault="006F6C00" w:rsidP="006F6C00">
      <w:pPr>
        <w:pStyle w:val="ListParagraph"/>
        <w:numPr>
          <w:ilvl w:val="0"/>
          <w:numId w:val="1"/>
        </w:numPr>
        <w:spacing w:line="480" w:lineRule="auto"/>
        <w:jc w:val="center"/>
        <w:rPr>
          <w:bCs/>
          <w:i/>
          <w:u w:val="single"/>
        </w:rPr>
      </w:pPr>
      <w:r w:rsidRPr="006C6E9A">
        <w:rPr>
          <w:bCs/>
          <w:i/>
          <w:u w:val="single"/>
        </w:rPr>
        <w:t xml:space="preserve">Christ the King is God’s Son and </w:t>
      </w:r>
      <w:r w:rsidR="009D6BDB" w:rsidRPr="006C6E9A">
        <w:rPr>
          <w:bCs/>
          <w:i/>
          <w:u w:val="single"/>
        </w:rPr>
        <w:t xml:space="preserve">God’s </w:t>
      </w:r>
      <w:r w:rsidRPr="006C6E9A">
        <w:rPr>
          <w:bCs/>
          <w:i/>
          <w:u w:val="single"/>
        </w:rPr>
        <w:t>Image</w:t>
      </w:r>
    </w:p>
    <w:p w14:paraId="1D35855B" w14:textId="2A555420" w:rsidR="00C85730" w:rsidRPr="00C85730" w:rsidRDefault="00C85730" w:rsidP="00C85730">
      <w:pPr>
        <w:pStyle w:val="ListParagraph"/>
        <w:jc w:val="center"/>
        <w:rPr>
          <w:rFonts w:ascii="Cambria" w:hAnsi="Cambria"/>
          <w:bCs/>
          <w:i/>
        </w:rPr>
      </w:pPr>
      <w:r w:rsidRPr="00C85730">
        <w:rPr>
          <w:rFonts w:ascii="Cambria" w:hAnsi="Cambria"/>
          <w:bCs/>
          <w:i/>
        </w:rPr>
        <w:t>“He has rescued us from the dominion of darkness and transferred us into the kingd</w:t>
      </w:r>
      <w:r w:rsidR="008E46CF">
        <w:rPr>
          <w:rFonts w:ascii="Cambria" w:hAnsi="Cambria"/>
          <w:bCs/>
          <w:i/>
        </w:rPr>
        <w:t>om of the son</w:t>
      </w:r>
      <w:r w:rsidRPr="00C85730">
        <w:rPr>
          <w:rFonts w:ascii="Cambria" w:hAnsi="Cambria"/>
          <w:bCs/>
          <w:i/>
        </w:rPr>
        <w:t xml:space="preserve"> of his love” (1:13).</w:t>
      </w:r>
    </w:p>
    <w:p w14:paraId="2B3B9219" w14:textId="77777777" w:rsidR="00C85730" w:rsidRPr="00C85730" w:rsidRDefault="00C85730" w:rsidP="00C85730">
      <w:pPr>
        <w:pStyle w:val="ListParagraph"/>
        <w:jc w:val="center"/>
        <w:rPr>
          <w:rFonts w:ascii="Cambria" w:hAnsi="Cambria"/>
          <w:bCs/>
        </w:rPr>
      </w:pPr>
    </w:p>
    <w:p w14:paraId="2DFB3BF9" w14:textId="308CD060" w:rsidR="006F6C00" w:rsidRDefault="00784E45" w:rsidP="00FD62EE">
      <w:pPr>
        <w:spacing w:line="480" w:lineRule="auto"/>
        <w:jc w:val="both"/>
      </w:pPr>
      <w:r>
        <w:rPr>
          <w:bCs/>
        </w:rPr>
        <w:t xml:space="preserve">The hymns and encomia examined above have afforded the opportunity to see the frequent </w:t>
      </w:r>
      <w:r w:rsidR="00FD62EE">
        <w:rPr>
          <w:bCs/>
        </w:rPr>
        <w:t>relationship between Ze</w:t>
      </w:r>
      <w:r w:rsidR="00A96367">
        <w:rPr>
          <w:bCs/>
        </w:rPr>
        <w:t xml:space="preserve">us and his elected kings (e.g., </w:t>
      </w:r>
      <w:r w:rsidR="00FD62EE">
        <w:rPr>
          <w:bCs/>
        </w:rPr>
        <w:t>“</w:t>
      </w:r>
      <w:r w:rsidR="00FD62EE">
        <w:t xml:space="preserve">from Zeus come kings; for nothing is diviner than the kings of Zeus,” Callimachus, </w:t>
      </w:r>
      <w:r w:rsidR="00FD62EE" w:rsidRPr="00FD62EE">
        <w:rPr>
          <w:i/>
          <w:iCs/>
        </w:rPr>
        <w:t>Hymn to Zeus</w:t>
      </w:r>
      <w:r w:rsidR="00FD62EE">
        <w:t xml:space="preserve">, 78-79) as well </w:t>
      </w:r>
      <w:r>
        <w:t xml:space="preserve">as </w:t>
      </w:r>
      <w:r w:rsidR="00A96367">
        <w:t xml:space="preserve">that </w:t>
      </w:r>
      <w:r w:rsidR="00FD62EE">
        <w:t xml:space="preserve">between Israel’s God and his Davidic </w:t>
      </w:r>
      <w:r w:rsidR="00AF389E">
        <w:t>ruler</w:t>
      </w:r>
      <w:r w:rsidR="00A96367">
        <w:t xml:space="preserve"> (e.g., LXX Pss. 2, 71, </w:t>
      </w:r>
      <w:r w:rsidR="00FD62EE">
        <w:t>88, 109).</w:t>
      </w:r>
      <w:r>
        <w:t xml:space="preserve">  Likewise, Paul’s encomium to the Messiah</w:t>
      </w:r>
      <w:r w:rsidR="00AF389E">
        <w:t xml:space="preserve"> in Colossians</w:t>
      </w:r>
      <w:r>
        <w:t xml:space="preserve"> uses honorifics to de</w:t>
      </w:r>
      <w:r w:rsidR="009D6BDB">
        <w:t xml:space="preserve">scribe the </w:t>
      </w:r>
      <w:r w:rsidR="004951D0">
        <w:t xml:space="preserve">hymn’s subject </w:t>
      </w:r>
      <w:r w:rsidR="009D6BDB">
        <w:t xml:space="preserve">as God’s king who participates in his rule as his </w:t>
      </w:r>
      <w:r w:rsidR="00A96367">
        <w:t>royal</w:t>
      </w:r>
      <w:r w:rsidR="009D6BDB">
        <w:t xml:space="preserve"> representative. </w:t>
      </w:r>
      <w:r w:rsidR="00A96367">
        <w:t>Each of these</w:t>
      </w:r>
      <w:r w:rsidR="00F34433">
        <w:t xml:space="preserve"> honorifics </w:t>
      </w:r>
      <w:r w:rsidR="00A96367">
        <w:t>should</w:t>
      </w:r>
      <w:r w:rsidR="00AF389E">
        <w:t xml:space="preserve"> be situated within a</w:t>
      </w:r>
      <w:r w:rsidR="00F34433">
        <w:t xml:space="preserve"> royal context. </w:t>
      </w:r>
    </w:p>
    <w:p w14:paraId="06C21A4A" w14:textId="5DC38FD4" w:rsidR="00F974E8" w:rsidRDefault="00784E45" w:rsidP="003630D5">
      <w:pPr>
        <w:spacing w:line="480" w:lineRule="auto"/>
        <w:jc w:val="both"/>
        <w:rPr>
          <w:rFonts w:ascii="Cambria" w:hAnsi="Cambria"/>
        </w:rPr>
      </w:pPr>
      <w:r>
        <w:tab/>
      </w:r>
      <w:r w:rsidR="00712D4B">
        <w:t>T</w:t>
      </w:r>
      <w:r w:rsidR="00C71EA0">
        <w:t>he</w:t>
      </w:r>
      <w:r>
        <w:t xml:space="preserve"> antecedent</w:t>
      </w:r>
      <w:r w:rsidR="00731589">
        <w:t xml:space="preserve"> of </w:t>
      </w:r>
      <w:r>
        <w:rPr>
          <w:rFonts w:ascii="Gentium Plus" w:hAnsi="Gentium Plus"/>
          <w:lang w:val="el-GR"/>
        </w:rPr>
        <w:t>ὅς</w:t>
      </w:r>
      <w:r w:rsidR="00402EE6">
        <w:rPr>
          <w:rFonts w:ascii="Gentium Plus" w:hAnsi="Gentium Plus"/>
          <w:lang w:val="el-GR"/>
        </w:rPr>
        <w:t xml:space="preserve"> </w:t>
      </w:r>
      <w:r w:rsidR="00402EE6">
        <w:rPr>
          <w:rFonts w:ascii="Cambria" w:hAnsi="Cambria"/>
          <w:lang w:val="el-GR"/>
        </w:rPr>
        <w:t>(Col. 1:15a)</w:t>
      </w:r>
      <w:r w:rsidR="00402EE6">
        <w:rPr>
          <w:rFonts w:ascii="Gentium Plus" w:hAnsi="Gentium Plus"/>
          <w:lang w:val="el-GR"/>
        </w:rPr>
        <w:t>,</w:t>
      </w:r>
      <w:r w:rsidR="003630D5">
        <w:t xml:space="preserve"> </w:t>
      </w:r>
      <w:r w:rsidR="00402EE6">
        <w:t>and all the pronouns that follow,</w:t>
      </w:r>
      <w:r w:rsidR="00C71EA0">
        <w:t xml:space="preserve"> is not “Wisdom,” nor is it left unspecified but, rather,</w:t>
      </w:r>
      <w:r w:rsidR="003630D5">
        <w:t xml:space="preserve"> is</w:t>
      </w:r>
      <w:r w:rsidR="00C71EA0">
        <w:t xml:space="preserve"> clearly stated as</w:t>
      </w:r>
      <w:r>
        <w:t xml:space="preserve"> </w:t>
      </w:r>
      <w:r>
        <w:rPr>
          <w:rFonts w:ascii="Gentium Plus" w:hAnsi="Gentium Plus"/>
          <w:lang w:val="el-GR"/>
        </w:rPr>
        <w:t xml:space="preserve">τοῦ υἱοῦ τῆς ἀγάπης αὐτοῦ </w:t>
      </w:r>
      <w:r>
        <w:rPr>
          <w:rFonts w:ascii="Cambria" w:hAnsi="Cambria"/>
        </w:rPr>
        <w:t>(</w:t>
      </w:r>
      <w:r w:rsidR="009A7B35">
        <w:rPr>
          <w:rFonts w:ascii="Cambria" w:hAnsi="Cambria"/>
        </w:rPr>
        <w:t xml:space="preserve">“the son of his love,” </w:t>
      </w:r>
      <w:r>
        <w:rPr>
          <w:rFonts w:ascii="Cambria" w:hAnsi="Cambria"/>
        </w:rPr>
        <w:t>v. 13b).</w:t>
      </w:r>
      <w:r w:rsidR="006E7F88">
        <w:rPr>
          <w:rStyle w:val="FootnoteReference"/>
          <w:rFonts w:ascii="Cambria" w:hAnsi="Cambria"/>
        </w:rPr>
        <w:footnoteReference w:id="92"/>
      </w:r>
      <w:r>
        <w:rPr>
          <w:rFonts w:ascii="Cambria" w:hAnsi="Cambria"/>
        </w:rPr>
        <w:t xml:space="preserve">  This son is </w:t>
      </w:r>
      <w:r w:rsidR="00337518">
        <w:rPr>
          <w:rFonts w:ascii="Cambria" w:hAnsi="Cambria"/>
        </w:rPr>
        <w:t xml:space="preserve">unambiguously troped as </w:t>
      </w:r>
      <w:r>
        <w:rPr>
          <w:rFonts w:ascii="Cambria" w:hAnsi="Cambria"/>
        </w:rPr>
        <w:t>a royal figure</w:t>
      </w:r>
      <w:r w:rsidR="007A7545">
        <w:rPr>
          <w:rFonts w:ascii="Cambria" w:hAnsi="Cambria"/>
        </w:rPr>
        <w:t xml:space="preserve"> as he h</w:t>
      </w:r>
      <w:r w:rsidR="006E7F88">
        <w:rPr>
          <w:rFonts w:ascii="Cambria" w:hAnsi="Cambria"/>
        </w:rPr>
        <w:t xml:space="preserve">as his own </w:t>
      </w:r>
      <w:r w:rsidR="006E7F88">
        <w:rPr>
          <w:rFonts w:ascii="Gentium Plus" w:hAnsi="Gentium Plus"/>
          <w:lang w:val="el-GR"/>
        </w:rPr>
        <w:t>τὴν βασιλείαν</w:t>
      </w:r>
      <w:r w:rsidR="006E7F88">
        <w:rPr>
          <w:rFonts w:ascii="Cambria" w:hAnsi="Cambria"/>
        </w:rPr>
        <w:t xml:space="preserve"> where his rescued subjects reside</w:t>
      </w:r>
      <w:r w:rsidR="00CD6038">
        <w:rPr>
          <w:rFonts w:ascii="Cambria" w:hAnsi="Cambria"/>
        </w:rPr>
        <w:t xml:space="preserve"> as ones </w:t>
      </w:r>
      <w:r w:rsidR="00A96367">
        <w:rPr>
          <w:rFonts w:ascii="Cambria" w:hAnsi="Cambria"/>
        </w:rPr>
        <w:t xml:space="preserve">who have been </w:t>
      </w:r>
      <w:r w:rsidR="00CD6038">
        <w:rPr>
          <w:rFonts w:ascii="Cambria" w:hAnsi="Cambria"/>
        </w:rPr>
        <w:t xml:space="preserve">“delivered from the </w:t>
      </w:r>
      <w:r w:rsidR="00A96367">
        <w:rPr>
          <w:rFonts w:ascii="Cambria" w:hAnsi="Cambria"/>
        </w:rPr>
        <w:t>dominion</w:t>
      </w:r>
      <w:r w:rsidR="00CD6038">
        <w:rPr>
          <w:rFonts w:ascii="Cambria" w:hAnsi="Cambria"/>
        </w:rPr>
        <w:t xml:space="preserve"> of darkness (</w:t>
      </w:r>
      <w:r w:rsidR="00CD6038">
        <w:rPr>
          <w:rFonts w:ascii="Gentium Plus" w:hAnsi="Gentium Plus"/>
          <w:lang w:val="el-GR"/>
        </w:rPr>
        <w:t>ἐρρύσατο ἡμᾶς ἐκ τῆς ἐξουσίας τοῦ σκότους</w:t>
      </w:r>
      <w:r w:rsidR="00CD6038">
        <w:rPr>
          <w:rFonts w:ascii="Cambria" w:hAnsi="Cambria"/>
        </w:rPr>
        <w:t>)”</w:t>
      </w:r>
      <w:r w:rsidR="006E7F88">
        <w:rPr>
          <w:rFonts w:ascii="Cambria" w:hAnsi="Cambria"/>
        </w:rPr>
        <w:t xml:space="preserve"> (v. 13).</w:t>
      </w:r>
      <w:r w:rsidR="006E7F88">
        <w:rPr>
          <w:rStyle w:val="FootnoteReference"/>
          <w:rFonts w:ascii="Cambria" w:hAnsi="Cambria"/>
        </w:rPr>
        <w:footnoteReference w:id="93"/>
      </w:r>
      <w:r w:rsidR="006E7F88">
        <w:rPr>
          <w:rFonts w:ascii="Cambria" w:hAnsi="Cambria"/>
        </w:rPr>
        <w:t xml:space="preserve"> </w:t>
      </w:r>
      <w:r w:rsidR="009A7B35">
        <w:rPr>
          <w:rFonts w:ascii="Cambria" w:hAnsi="Cambria"/>
        </w:rPr>
        <w:t xml:space="preserve"> </w:t>
      </w:r>
      <w:r w:rsidR="00CA63B1">
        <w:rPr>
          <w:rFonts w:ascii="Cambria" w:hAnsi="Cambria"/>
        </w:rPr>
        <w:t>Like any good king, the royal son has liberated his subjects from evil – “the dominion of darkness” (1:13) and “sins” (1:14).</w:t>
      </w:r>
    </w:p>
    <w:p w14:paraId="7FB74C78" w14:textId="05A213D5" w:rsidR="00402EE6" w:rsidRDefault="00F974E8" w:rsidP="00F974E8">
      <w:pPr>
        <w:spacing w:line="480" w:lineRule="auto"/>
        <w:ind w:firstLine="360"/>
        <w:jc w:val="both"/>
        <w:rPr>
          <w:rFonts w:ascii="Cambria" w:hAnsi="Cambria"/>
        </w:rPr>
      </w:pPr>
      <w:r>
        <w:rPr>
          <w:rFonts w:ascii="Cambria" w:hAnsi="Cambria"/>
        </w:rPr>
        <w:t>T</w:t>
      </w:r>
      <w:r w:rsidR="006E7F88">
        <w:rPr>
          <w:rFonts w:ascii="Cambria" w:hAnsi="Cambria"/>
        </w:rPr>
        <w:t>he relationship between “the Father” (</w:t>
      </w:r>
      <w:r w:rsidR="006E7F88">
        <w:rPr>
          <w:rFonts w:ascii="Gentium Plus" w:hAnsi="Gentium Plus"/>
          <w:lang w:val="el-GR"/>
        </w:rPr>
        <w:t>τῷ πατρί</w:t>
      </w:r>
      <w:r w:rsidR="006E7F88">
        <w:rPr>
          <w:rFonts w:ascii="Cambria" w:hAnsi="Cambria"/>
        </w:rPr>
        <w:t>, v. 12) a</w:t>
      </w:r>
      <w:r w:rsidR="00C71EA0">
        <w:rPr>
          <w:rFonts w:ascii="Cambria" w:hAnsi="Cambria"/>
        </w:rPr>
        <w:t xml:space="preserve">nd “the son of his love” </w:t>
      </w:r>
      <w:r w:rsidR="006E7F88">
        <w:rPr>
          <w:rFonts w:ascii="Cambria" w:hAnsi="Cambria"/>
        </w:rPr>
        <w:t xml:space="preserve">echoes </w:t>
      </w:r>
      <w:r w:rsidR="009D6BDB">
        <w:rPr>
          <w:rFonts w:ascii="Cambria" w:hAnsi="Cambria"/>
        </w:rPr>
        <w:t xml:space="preserve">Israel’s royal </w:t>
      </w:r>
      <w:r w:rsidR="004951D0">
        <w:rPr>
          <w:rFonts w:ascii="Cambria" w:hAnsi="Cambria"/>
        </w:rPr>
        <w:t>ideology whereby the king is a s</w:t>
      </w:r>
      <w:r w:rsidR="009D6BDB">
        <w:rPr>
          <w:rFonts w:ascii="Cambria" w:hAnsi="Cambria"/>
        </w:rPr>
        <w:t>on of God.</w:t>
      </w:r>
      <w:r w:rsidR="00F34433">
        <w:rPr>
          <w:rStyle w:val="FootnoteReference"/>
          <w:rFonts w:ascii="Cambria" w:hAnsi="Cambria"/>
        </w:rPr>
        <w:footnoteReference w:id="94"/>
      </w:r>
      <w:r w:rsidR="009D6BDB">
        <w:rPr>
          <w:rFonts w:ascii="Cambria" w:hAnsi="Cambria"/>
        </w:rPr>
        <w:t xml:space="preserve">  More specifically, the language echoes </w:t>
      </w:r>
      <w:r w:rsidR="003630D5">
        <w:rPr>
          <w:rFonts w:ascii="Cambria" w:hAnsi="Cambria"/>
        </w:rPr>
        <w:t>Nathan’s oracle</w:t>
      </w:r>
      <w:r w:rsidR="00337518">
        <w:rPr>
          <w:rFonts w:ascii="Cambria" w:hAnsi="Cambria"/>
        </w:rPr>
        <w:t xml:space="preserve"> to the house of David</w:t>
      </w:r>
      <w:r w:rsidR="006E7F88">
        <w:rPr>
          <w:rFonts w:ascii="Cambria" w:hAnsi="Cambria"/>
        </w:rPr>
        <w:t>: “I</w:t>
      </w:r>
      <w:r w:rsidR="00A96367">
        <w:rPr>
          <w:rFonts w:ascii="Cambria" w:hAnsi="Cambria"/>
        </w:rPr>
        <w:t xml:space="preserve"> will be</w:t>
      </w:r>
      <w:r w:rsidR="006E7F88">
        <w:rPr>
          <w:rFonts w:ascii="Cambria" w:hAnsi="Cambria"/>
        </w:rPr>
        <w:t xml:space="preserve"> a father to him, and he will be a son to me” (</w:t>
      </w:r>
      <w:r w:rsidR="009A7B35">
        <w:rPr>
          <w:rFonts w:ascii="Gentium Plus" w:hAnsi="Gentium Plus"/>
          <w:lang w:val="el-GR"/>
        </w:rPr>
        <w:t>ἐγὼ ἔσομαι αὐτῷ εἰς πατέρα, καὶ αὐτὸς ἔσται μοι εἰς υἱόν</w:t>
      </w:r>
      <w:r w:rsidR="006E7F88">
        <w:rPr>
          <w:rFonts w:ascii="Cambria" w:hAnsi="Cambria"/>
        </w:rPr>
        <w:t>, 2 Sam. 7:14a).</w:t>
      </w:r>
      <w:r w:rsidR="009A7B35">
        <w:rPr>
          <w:rStyle w:val="FootnoteReference"/>
          <w:rFonts w:ascii="Cambria" w:hAnsi="Cambria"/>
        </w:rPr>
        <w:footnoteReference w:id="95"/>
      </w:r>
      <w:r w:rsidR="009A7B35">
        <w:rPr>
          <w:rFonts w:ascii="Cambria" w:hAnsi="Cambria"/>
        </w:rPr>
        <w:t xml:space="preserve"> </w:t>
      </w:r>
      <w:r w:rsidR="00402EE6">
        <w:rPr>
          <w:rFonts w:ascii="Cambria" w:hAnsi="Cambria"/>
        </w:rPr>
        <w:t>Increasing the</w:t>
      </w:r>
      <w:r w:rsidR="00A96367">
        <w:rPr>
          <w:rFonts w:ascii="Cambria" w:hAnsi="Cambria"/>
        </w:rPr>
        <w:t xml:space="preserve"> resonances of the</w:t>
      </w:r>
      <w:r w:rsidR="00402EE6">
        <w:rPr>
          <w:rFonts w:ascii="Cambria" w:hAnsi="Cambria"/>
        </w:rPr>
        <w:t xml:space="preserve"> echo of 2 Sam. 7 </w:t>
      </w:r>
      <w:r w:rsidR="00AF389E">
        <w:rPr>
          <w:rFonts w:ascii="Cambria" w:hAnsi="Cambria"/>
        </w:rPr>
        <w:t xml:space="preserve">in Paul’s honorific </w:t>
      </w:r>
      <w:r w:rsidR="00AF389E">
        <w:rPr>
          <w:rFonts w:ascii="Gentium Plus" w:hAnsi="Gentium Plus"/>
          <w:lang w:val="el-GR"/>
        </w:rPr>
        <w:t>τοῦ υἱοῦ τῆς ἀγάπης αὐτοῦ</w:t>
      </w:r>
      <w:r w:rsidR="00AF389E">
        <w:rPr>
          <w:rFonts w:ascii="Cambria" w:hAnsi="Cambria"/>
        </w:rPr>
        <w:t xml:space="preserve"> </w:t>
      </w:r>
      <w:r w:rsidR="00402EE6">
        <w:rPr>
          <w:rFonts w:ascii="Cambria" w:hAnsi="Cambria"/>
        </w:rPr>
        <w:t xml:space="preserve">is the reverberation </w:t>
      </w:r>
      <w:r w:rsidR="00402EE6" w:rsidRPr="00402EE6">
        <w:rPr>
          <w:rFonts w:ascii="Cambria" w:hAnsi="Cambria"/>
        </w:rPr>
        <w:t xml:space="preserve">of </w:t>
      </w:r>
      <w:r w:rsidR="00402EE6">
        <w:rPr>
          <w:rFonts w:ascii="Cambria" w:hAnsi="Cambria"/>
        </w:rPr>
        <w:t xml:space="preserve">David’s statement </w:t>
      </w:r>
      <w:r w:rsidR="00402EE6" w:rsidRPr="00402EE6">
        <w:t>“</w:t>
      </w:r>
      <w:r w:rsidR="00402EE6">
        <w:t xml:space="preserve">what is my house that </w:t>
      </w:r>
      <w:r w:rsidR="00402EE6" w:rsidRPr="00C03BCC">
        <w:rPr>
          <w:i/>
        </w:rPr>
        <w:t>you have loved me</w:t>
      </w:r>
      <w:r w:rsidR="00402EE6" w:rsidRPr="00402EE6">
        <w:t xml:space="preserve"> in this way (</w:t>
      </w:r>
      <w:r w:rsidR="00402EE6" w:rsidRPr="00402EE6">
        <w:rPr>
          <w:rFonts w:ascii="Gentium Plus" w:hAnsi="Gentium Plus"/>
          <w:lang w:val="el-GR"/>
        </w:rPr>
        <w:t>ἠγάπηκάς με ἕως τούτων</w:t>
      </w:r>
      <w:r w:rsidR="00AF389E">
        <w:rPr>
          <w:rFonts w:ascii="Cambria" w:hAnsi="Cambria"/>
          <w:lang w:val="el-GR"/>
        </w:rPr>
        <w:t>, 2 Sam. 7:18</w:t>
      </w:r>
      <w:r w:rsidR="00402EE6" w:rsidRPr="00402EE6">
        <w:t>)</w:t>
      </w:r>
      <w:r w:rsidR="00AF389E">
        <w:t>?</w:t>
      </w:r>
      <w:r w:rsidR="00402EE6">
        <w:t>”</w:t>
      </w:r>
      <w:r w:rsidR="006F1543">
        <w:t xml:space="preserve"> The language of “beloved son” he</w:t>
      </w:r>
      <w:r w:rsidR="00337518">
        <w:t>re is less a matter of emotion</w:t>
      </w:r>
      <w:r w:rsidR="006F1543">
        <w:t>, as it is a description of God’s election of the King to be his earthly representative.</w:t>
      </w:r>
      <w:r w:rsidR="00AF389E">
        <w:t xml:space="preserve">  </w:t>
      </w:r>
    </w:p>
    <w:p w14:paraId="3FDC6E6F" w14:textId="30CF38D6" w:rsidR="004951D0" w:rsidRDefault="009A7B35" w:rsidP="00F974E8">
      <w:pPr>
        <w:spacing w:line="480" w:lineRule="auto"/>
        <w:ind w:firstLine="360"/>
        <w:jc w:val="both"/>
        <w:rPr>
          <w:rFonts w:ascii="Cambria" w:hAnsi="Cambria"/>
        </w:rPr>
      </w:pPr>
      <w:r>
        <w:rPr>
          <w:rFonts w:ascii="Cambria" w:hAnsi="Cambria"/>
        </w:rPr>
        <w:t>As is well known, numerous later Israelite texts interact with Nathan’s royal oracle in stressing Israel’s king as Son of God who rules in God’s stead.</w:t>
      </w:r>
      <w:r w:rsidR="003630D5">
        <w:rPr>
          <w:rStyle w:val="FootnoteReference"/>
          <w:rFonts w:ascii="Cambria" w:hAnsi="Cambria"/>
        </w:rPr>
        <w:footnoteReference w:id="96"/>
      </w:r>
      <w:r>
        <w:rPr>
          <w:rFonts w:ascii="Cambria" w:hAnsi="Cambria"/>
        </w:rPr>
        <w:t xml:space="preserve"> </w:t>
      </w:r>
      <w:r w:rsidR="003630D5">
        <w:rPr>
          <w:rFonts w:ascii="Cambria" w:hAnsi="Cambria"/>
        </w:rPr>
        <w:t xml:space="preserve"> </w:t>
      </w:r>
      <w:r>
        <w:rPr>
          <w:rFonts w:ascii="Cambria" w:hAnsi="Cambria"/>
        </w:rPr>
        <w:t>Thus,</w:t>
      </w:r>
      <w:r w:rsidR="00B668B3">
        <w:rPr>
          <w:rFonts w:ascii="Cambria" w:hAnsi="Cambria"/>
        </w:rPr>
        <w:t xml:space="preserve"> in Ps. 2,</w:t>
      </w:r>
      <w:r w:rsidR="002D4577">
        <w:rPr>
          <w:rFonts w:ascii="Cambria" w:hAnsi="Cambria"/>
        </w:rPr>
        <w:t xml:space="preserve"> in</w:t>
      </w:r>
      <w:r w:rsidR="002D4577" w:rsidRPr="002D4577">
        <w:rPr>
          <w:rFonts w:ascii="Cambria" w:hAnsi="Cambria"/>
        </w:rPr>
        <w:t xml:space="preserve"> </w:t>
      </w:r>
      <w:r w:rsidR="002D4577">
        <w:rPr>
          <w:rFonts w:ascii="Cambria" w:hAnsi="Cambria"/>
        </w:rPr>
        <w:t>response to “the kings of the earth and the rulers” (</w:t>
      </w:r>
      <w:r w:rsidR="002D4577">
        <w:rPr>
          <w:rFonts w:ascii="Gentium Plus" w:hAnsi="Gentium Plus"/>
          <w:lang w:val="el-GR"/>
        </w:rPr>
        <w:t>οἱ βασιλεῖς τῆς γῆς καὶ ἄρχοντες</w:t>
      </w:r>
      <w:r w:rsidR="002D4577">
        <w:rPr>
          <w:rFonts w:ascii="Cambria" w:hAnsi="Cambria"/>
        </w:rPr>
        <w:t>, v. 2a) who plot “against the lord and against his anointed one” (</w:t>
      </w:r>
      <w:r w:rsidR="002D4577">
        <w:rPr>
          <w:rFonts w:ascii="Gentium Plus" w:hAnsi="Gentium Plus"/>
          <w:lang w:val="el-GR"/>
        </w:rPr>
        <w:t xml:space="preserve">κατὰ τοῦ κυρίου καὶ κατὰ τοῦ χριστοῦ αὐτοῦ, </w:t>
      </w:r>
      <w:r w:rsidR="002D4577">
        <w:rPr>
          <w:rFonts w:ascii="Cambria" w:hAnsi="Cambria"/>
        </w:rPr>
        <w:t>v. 2b),</w:t>
      </w:r>
      <w:r>
        <w:rPr>
          <w:rFonts w:ascii="Cambria" w:hAnsi="Cambria"/>
        </w:rPr>
        <w:t xml:space="preserve"> </w:t>
      </w:r>
      <w:r w:rsidR="002D4577">
        <w:rPr>
          <w:rFonts w:ascii="Cambria" w:hAnsi="Cambria"/>
        </w:rPr>
        <w:t>God institutes his king to rule in his stead:</w:t>
      </w:r>
      <w:r>
        <w:rPr>
          <w:rFonts w:ascii="Cambria" w:hAnsi="Cambria"/>
        </w:rPr>
        <w:t xml:space="preserve"> “the Lord said to me, ‘You are my son (</w:t>
      </w:r>
      <w:r>
        <w:rPr>
          <w:rFonts w:ascii="Gentium Plus" w:hAnsi="Gentium Plus"/>
          <w:lang w:val="el-GR"/>
        </w:rPr>
        <w:t>Υἱός μου εἶ σύ</w:t>
      </w:r>
      <w:r>
        <w:rPr>
          <w:rFonts w:ascii="Cambria" w:hAnsi="Cambria"/>
        </w:rPr>
        <w:t xml:space="preserve">), today </w:t>
      </w:r>
      <w:r w:rsidR="002D4577">
        <w:rPr>
          <w:rFonts w:ascii="Cambria" w:hAnsi="Cambria"/>
        </w:rPr>
        <w:t>I have begotten you’” (v. 7).</w:t>
      </w:r>
      <w:r w:rsidR="007A61CC">
        <w:rPr>
          <w:rFonts w:ascii="Cambria" w:hAnsi="Cambria"/>
        </w:rPr>
        <w:t xml:space="preserve"> </w:t>
      </w:r>
      <w:r w:rsidR="00337518">
        <w:rPr>
          <w:rFonts w:ascii="Cambria" w:hAnsi="Cambria"/>
        </w:rPr>
        <w:t xml:space="preserve"> The portrait is of a </w:t>
      </w:r>
      <w:r w:rsidR="00987C82">
        <w:rPr>
          <w:rFonts w:ascii="Cambria" w:hAnsi="Cambria"/>
        </w:rPr>
        <w:t>rebellious group of rulers and authorities who are pacified by God’s royal son who is enthroned to reign over them.</w:t>
      </w:r>
      <w:r w:rsidR="00987C82">
        <w:rPr>
          <w:rStyle w:val="FootnoteReference"/>
          <w:rFonts w:ascii="Cambria" w:hAnsi="Cambria"/>
        </w:rPr>
        <w:footnoteReference w:id="97"/>
      </w:r>
      <w:r w:rsidR="00987C82">
        <w:rPr>
          <w:rFonts w:ascii="Cambria" w:hAnsi="Cambria"/>
        </w:rPr>
        <w:t xml:space="preserve">  </w:t>
      </w:r>
      <w:r w:rsidR="007A61CC">
        <w:rPr>
          <w:rFonts w:ascii="Cambria" w:hAnsi="Cambria"/>
        </w:rPr>
        <w:t xml:space="preserve">The </w:t>
      </w:r>
      <w:r w:rsidR="00374296">
        <w:rPr>
          <w:rFonts w:ascii="Cambria" w:hAnsi="Cambria"/>
        </w:rPr>
        <w:t xml:space="preserve">enthronement </w:t>
      </w:r>
      <w:r w:rsidR="007A61CC">
        <w:rPr>
          <w:rFonts w:ascii="Cambria" w:hAnsi="Cambria"/>
        </w:rPr>
        <w:t>decree (v. 7) unpacks the Davidic figure’s status as one who has been established “king by him” (</w:t>
      </w:r>
      <w:r w:rsidR="007A61CC">
        <w:rPr>
          <w:rFonts w:ascii="Gentium Plus" w:hAnsi="Gentium Plus"/>
          <w:lang w:val="el-GR"/>
        </w:rPr>
        <w:t>βασιλεὺς ὑπ᾽ αὐτοῦ</w:t>
      </w:r>
      <w:r w:rsidR="007A61CC">
        <w:rPr>
          <w:rFonts w:ascii="Cambria" w:hAnsi="Cambria"/>
        </w:rPr>
        <w:t>, v. 6a).</w:t>
      </w:r>
      <w:r w:rsidR="00374296">
        <w:rPr>
          <w:rStyle w:val="FootnoteReference"/>
          <w:rFonts w:ascii="Cambria" w:hAnsi="Cambria"/>
        </w:rPr>
        <w:footnoteReference w:id="98"/>
      </w:r>
      <w:r w:rsidR="00374296">
        <w:rPr>
          <w:rFonts w:ascii="Cambria" w:hAnsi="Cambria"/>
        </w:rPr>
        <w:t xml:space="preserve"> </w:t>
      </w:r>
      <w:r w:rsidR="00F974E8">
        <w:rPr>
          <w:rFonts w:ascii="Cambria" w:hAnsi="Cambria"/>
        </w:rPr>
        <w:t>God promises to give the king “the nations as your inheritance” (</w:t>
      </w:r>
      <w:r w:rsidR="00F974E8">
        <w:rPr>
          <w:rFonts w:ascii="Gentium Plus" w:hAnsi="Gentium Plus"/>
          <w:lang w:val="el-GR"/>
        </w:rPr>
        <w:t>ἔθνη τὴν κληρονομίαν σου</w:t>
      </w:r>
      <w:r w:rsidR="00F974E8">
        <w:rPr>
          <w:rFonts w:ascii="Cambria" w:hAnsi="Cambria"/>
        </w:rPr>
        <w:t>, Ps. 2:8).</w:t>
      </w:r>
      <w:r w:rsidR="00F974E8">
        <w:rPr>
          <w:rStyle w:val="FootnoteReference"/>
          <w:rFonts w:ascii="Cambria" w:hAnsi="Cambria"/>
        </w:rPr>
        <w:footnoteReference w:id="99"/>
      </w:r>
      <w:r w:rsidR="009D6BDB">
        <w:rPr>
          <w:rFonts w:ascii="Cambria" w:hAnsi="Cambria"/>
        </w:rPr>
        <w:t xml:space="preserve"> The Davidic king thereby participates as gift in the rule of God his father, and is commissioned to rule on God’s behalf.</w:t>
      </w:r>
      <w:r w:rsidR="009D6BDB">
        <w:rPr>
          <w:rStyle w:val="FootnoteReference"/>
          <w:rFonts w:ascii="Cambria" w:hAnsi="Cambria"/>
        </w:rPr>
        <w:footnoteReference w:id="100"/>
      </w:r>
      <w:r w:rsidR="009D6BDB">
        <w:rPr>
          <w:rFonts w:ascii="Cambria" w:hAnsi="Cambria"/>
        </w:rPr>
        <w:t xml:space="preserve"> </w:t>
      </w:r>
      <w:r w:rsidR="007A61CC">
        <w:rPr>
          <w:rFonts w:ascii="Cambria" w:hAnsi="Cambria"/>
        </w:rPr>
        <w:t xml:space="preserve"> And </w:t>
      </w:r>
      <w:r w:rsidR="003630D5">
        <w:rPr>
          <w:rFonts w:ascii="Cambria" w:hAnsi="Cambria"/>
        </w:rPr>
        <w:t xml:space="preserve">again </w:t>
      </w:r>
      <w:r w:rsidR="007A61CC">
        <w:rPr>
          <w:rFonts w:ascii="Cambria" w:hAnsi="Cambria"/>
        </w:rPr>
        <w:t xml:space="preserve">in Ps. 88 the king </w:t>
      </w:r>
      <w:r w:rsidR="00C03BCC">
        <w:rPr>
          <w:rFonts w:ascii="Cambria" w:hAnsi="Cambria"/>
        </w:rPr>
        <w:t xml:space="preserve">is </w:t>
      </w:r>
      <w:r w:rsidR="007A61CC">
        <w:rPr>
          <w:rFonts w:ascii="Cambria" w:hAnsi="Cambria"/>
        </w:rPr>
        <w:t xml:space="preserve">“exalted above all the kings of the earth” (v. 29) </w:t>
      </w:r>
      <w:r w:rsidR="00C03BCC">
        <w:rPr>
          <w:rFonts w:ascii="Cambria" w:hAnsi="Cambria"/>
        </w:rPr>
        <w:t>as a result of his sonly relation</w:t>
      </w:r>
      <w:r w:rsidR="007A61CC">
        <w:rPr>
          <w:rFonts w:ascii="Cambria" w:hAnsi="Cambria"/>
        </w:rPr>
        <w:t xml:space="preserve"> to God his Father (v. 28).</w:t>
      </w:r>
      <w:r w:rsidR="00AF389E">
        <w:rPr>
          <w:rFonts w:ascii="Cambria" w:hAnsi="Cambria"/>
        </w:rPr>
        <w:t xml:space="preserve"> </w:t>
      </w:r>
      <w:r w:rsidR="007A61CC">
        <w:rPr>
          <w:rFonts w:ascii="Cambria" w:hAnsi="Cambria"/>
        </w:rPr>
        <w:t xml:space="preserve"> </w:t>
      </w:r>
    </w:p>
    <w:p w14:paraId="67964C7D" w14:textId="632D64EB" w:rsidR="00784E45" w:rsidRDefault="004951D0" w:rsidP="00F974E8">
      <w:pPr>
        <w:spacing w:line="480" w:lineRule="auto"/>
        <w:ind w:firstLine="360"/>
        <w:jc w:val="both"/>
        <w:rPr>
          <w:rFonts w:ascii="Cambria" w:hAnsi="Cambria"/>
        </w:rPr>
      </w:pPr>
      <w:r>
        <w:rPr>
          <w:rFonts w:ascii="Cambria" w:hAnsi="Cambria"/>
        </w:rPr>
        <w:t>The Israelite king as</w:t>
      </w:r>
      <w:r w:rsidR="000D5ACF">
        <w:rPr>
          <w:rFonts w:ascii="Cambria" w:hAnsi="Cambria"/>
        </w:rPr>
        <w:t xml:space="preserve"> God’s son </w:t>
      </w:r>
      <w:r>
        <w:rPr>
          <w:rFonts w:ascii="Cambria" w:hAnsi="Cambria"/>
        </w:rPr>
        <w:t>who rules in</w:t>
      </w:r>
      <w:r w:rsidR="000D5ACF">
        <w:rPr>
          <w:rFonts w:ascii="Cambria" w:hAnsi="Cambria"/>
        </w:rPr>
        <w:t xml:space="preserve"> God’s stead as a gift </w:t>
      </w:r>
      <w:r>
        <w:rPr>
          <w:rFonts w:ascii="Cambria" w:hAnsi="Cambria"/>
        </w:rPr>
        <w:t xml:space="preserve">fits </w:t>
      </w:r>
      <w:r w:rsidR="000D5ACF">
        <w:rPr>
          <w:rFonts w:ascii="Cambria" w:hAnsi="Cambria"/>
        </w:rPr>
        <w:t>nicely</w:t>
      </w:r>
      <w:r>
        <w:rPr>
          <w:rFonts w:ascii="Cambria" w:hAnsi="Cambria"/>
        </w:rPr>
        <w:t xml:space="preserve"> with Paul’s language</w:t>
      </w:r>
      <w:r w:rsidR="000D5ACF">
        <w:rPr>
          <w:rFonts w:ascii="Cambria" w:hAnsi="Cambria"/>
        </w:rPr>
        <w:t xml:space="preserve"> where “the beloved Son” is </w:t>
      </w:r>
      <w:r w:rsidR="000D5ACF" w:rsidRPr="000D5ACF">
        <w:rPr>
          <w:rFonts w:ascii="Cambria" w:hAnsi="Cambria"/>
          <w:i/>
          <w:iCs/>
        </w:rPr>
        <w:t>the</w:t>
      </w:r>
      <w:r w:rsidR="00337518">
        <w:rPr>
          <w:rFonts w:ascii="Cambria" w:hAnsi="Cambria"/>
          <w:i/>
          <w:iCs/>
        </w:rPr>
        <w:t xml:space="preserve"> authorized</w:t>
      </w:r>
      <w:r w:rsidR="000D5ACF" w:rsidRPr="000D5ACF">
        <w:rPr>
          <w:rFonts w:ascii="Cambria" w:hAnsi="Cambria"/>
          <w:i/>
          <w:iCs/>
        </w:rPr>
        <w:t xml:space="preserve"> agent through whom</w:t>
      </w:r>
      <w:r w:rsidR="000D5ACF">
        <w:rPr>
          <w:rFonts w:ascii="Cambria" w:hAnsi="Cambria"/>
        </w:rPr>
        <w:t xml:space="preserve"> God accomplishes deliverance, redemption, and forgiveness of sins (1:13-14).</w:t>
      </w:r>
      <w:r w:rsidR="000D5ACF">
        <w:rPr>
          <w:rStyle w:val="FootnoteReference"/>
          <w:rFonts w:ascii="Cambria" w:hAnsi="Cambria"/>
        </w:rPr>
        <w:footnoteReference w:id="101"/>
      </w:r>
      <w:r>
        <w:rPr>
          <w:rFonts w:ascii="Cambria" w:hAnsi="Cambria"/>
        </w:rPr>
        <w:t xml:space="preserve"> </w:t>
      </w:r>
      <w:r w:rsidR="00C03BCC">
        <w:rPr>
          <w:rFonts w:ascii="Cambria" w:hAnsi="Cambria"/>
        </w:rPr>
        <w:t xml:space="preserve"> </w:t>
      </w:r>
      <w:r w:rsidR="00CD6038">
        <w:rPr>
          <w:rFonts w:ascii="Cambria" w:hAnsi="Cambria"/>
        </w:rPr>
        <w:t xml:space="preserve">Thus, Paul </w:t>
      </w:r>
      <w:r w:rsidR="000D5ACF">
        <w:rPr>
          <w:rFonts w:ascii="Cambria" w:hAnsi="Cambria"/>
        </w:rPr>
        <w:t>sets the encomium</w:t>
      </w:r>
      <w:r w:rsidR="00CD6038">
        <w:rPr>
          <w:rFonts w:ascii="Cambria" w:hAnsi="Cambria"/>
        </w:rPr>
        <w:t xml:space="preserve"> in an explicitly royal messianic context, and prepares the </w:t>
      </w:r>
      <w:r w:rsidR="000D5ACF">
        <w:rPr>
          <w:rFonts w:ascii="Cambria" w:hAnsi="Cambria"/>
        </w:rPr>
        <w:t>audience</w:t>
      </w:r>
      <w:r w:rsidR="00CD6038">
        <w:rPr>
          <w:rFonts w:ascii="Cambria" w:hAnsi="Cambria"/>
        </w:rPr>
        <w:t xml:space="preserve"> for the hymn’s expansion on the nature of the king’s dominion and rule. </w:t>
      </w:r>
      <w:r w:rsidR="009115E7">
        <w:rPr>
          <w:rFonts w:ascii="Cambria" w:hAnsi="Cambria"/>
        </w:rPr>
        <w:t xml:space="preserve"> </w:t>
      </w:r>
    </w:p>
    <w:p w14:paraId="27609DFA" w14:textId="1641A787" w:rsidR="00C85730" w:rsidRPr="00C85730" w:rsidRDefault="00C85730" w:rsidP="00C85730">
      <w:pPr>
        <w:spacing w:line="480" w:lineRule="auto"/>
        <w:ind w:firstLine="360"/>
        <w:jc w:val="center"/>
        <w:rPr>
          <w:rFonts w:ascii="Cambria" w:hAnsi="Cambria"/>
          <w:i/>
        </w:rPr>
      </w:pPr>
      <w:r w:rsidRPr="00C85730">
        <w:rPr>
          <w:rFonts w:ascii="Cambria" w:hAnsi="Cambria"/>
          <w:i/>
        </w:rPr>
        <w:t>“He is the image of the invisible God” (1:15a)</w:t>
      </w:r>
    </w:p>
    <w:p w14:paraId="492E64AE" w14:textId="40C95FE7" w:rsidR="006F6C00" w:rsidRDefault="00FE0151" w:rsidP="00515B34">
      <w:pPr>
        <w:spacing w:line="480" w:lineRule="auto"/>
        <w:jc w:val="both"/>
        <w:rPr>
          <w:bCs/>
        </w:rPr>
      </w:pPr>
      <w:r>
        <w:rPr>
          <w:bCs/>
        </w:rPr>
        <w:t>As the</w:t>
      </w:r>
      <w:r w:rsidR="00B34A0C">
        <w:rPr>
          <w:bCs/>
        </w:rPr>
        <w:t xml:space="preserve"> rhetorical handbooks suggest</w:t>
      </w:r>
      <w:r>
        <w:rPr>
          <w:bCs/>
        </w:rPr>
        <w:t xml:space="preserve"> beginning the encomium with the ruler’s honorabl</w:t>
      </w:r>
      <w:r w:rsidR="00712D4B">
        <w:rPr>
          <w:bCs/>
        </w:rPr>
        <w:t>e ancestry, so Paul uses a</w:t>
      </w:r>
      <w:r>
        <w:rPr>
          <w:bCs/>
        </w:rPr>
        <w:t xml:space="preserve"> royal honorific to de</w:t>
      </w:r>
      <w:r w:rsidR="00337518">
        <w:rPr>
          <w:bCs/>
        </w:rPr>
        <w:t xml:space="preserve">scribe the son of God – </w:t>
      </w:r>
      <w:r>
        <w:rPr>
          <w:bCs/>
        </w:rPr>
        <w:t>“he is the image of the invisible God” (</w:t>
      </w:r>
      <w:r>
        <w:rPr>
          <w:rFonts w:ascii="Gentium Plus" w:hAnsi="Gentium Plus"/>
          <w:bCs/>
          <w:lang w:val="el-GR"/>
        </w:rPr>
        <w:t>ὅς ἐστιν εἰκὼν τοῦ θεοῦ ἀοράτου</w:t>
      </w:r>
      <w:r>
        <w:rPr>
          <w:bCs/>
        </w:rPr>
        <w:t xml:space="preserve">, 1:15a).  </w:t>
      </w:r>
      <w:r w:rsidR="00BE46EF">
        <w:rPr>
          <w:bCs/>
        </w:rPr>
        <w:t>In both J</w:t>
      </w:r>
      <w:r w:rsidR="00712D4B">
        <w:rPr>
          <w:bCs/>
        </w:rPr>
        <w:t xml:space="preserve">ewish and pagan contexts, </w:t>
      </w:r>
      <w:r w:rsidR="00BE46EF">
        <w:rPr>
          <w:bCs/>
        </w:rPr>
        <w:t>rulers are spok</w:t>
      </w:r>
      <w:r w:rsidR="00712D4B">
        <w:rPr>
          <w:bCs/>
        </w:rPr>
        <w:t xml:space="preserve">en of as </w:t>
      </w:r>
      <w:r w:rsidR="00BE46EF">
        <w:rPr>
          <w:bCs/>
        </w:rPr>
        <w:t>images of the gods.</w:t>
      </w:r>
      <w:r w:rsidR="001671F0">
        <w:rPr>
          <w:rStyle w:val="FootnoteReference"/>
          <w:bCs/>
        </w:rPr>
        <w:footnoteReference w:id="102"/>
      </w:r>
      <w:r w:rsidR="00BE46EF">
        <w:rPr>
          <w:bCs/>
        </w:rPr>
        <w:t xml:space="preserve">  As </w:t>
      </w:r>
      <w:r w:rsidR="00337518">
        <w:rPr>
          <w:bCs/>
        </w:rPr>
        <w:t xml:space="preserve">living </w:t>
      </w:r>
      <w:r w:rsidR="00BE46EF">
        <w:rPr>
          <w:bCs/>
        </w:rPr>
        <w:t>ima</w:t>
      </w:r>
      <w:r w:rsidR="007333D4">
        <w:rPr>
          <w:bCs/>
        </w:rPr>
        <w:t>ges of the gods, the kings rule and maintain</w:t>
      </w:r>
      <w:r w:rsidR="00BE46EF">
        <w:rPr>
          <w:bCs/>
        </w:rPr>
        <w:t xml:space="preserve"> cosmic harmony in the god’s stead.</w:t>
      </w:r>
      <w:r w:rsidR="00266C42">
        <w:rPr>
          <w:bCs/>
        </w:rPr>
        <w:t xml:space="preserve">  </w:t>
      </w:r>
      <w:r w:rsidR="00F7021D">
        <w:rPr>
          <w:bCs/>
        </w:rPr>
        <w:t>Plato</w:t>
      </w:r>
      <w:r w:rsidR="00266C42">
        <w:rPr>
          <w:bCs/>
        </w:rPr>
        <w:t xml:space="preserve"> remarks that the wise king reproduces the divine image within himself in his rule (</w:t>
      </w:r>
      <w:r w:rsidR="00266C42">
        <w:rPr>
          <w:bCs/>
          <w:i/>
        </w:rPr>
        <w:t>Republic</w:t>
      </w:r>
      <w:r w:rsidR="00266C42">
        <w:rPr>
          <w:bCs/>
        </w:rPr>
        <w:t xml:space="preserve"> 500B-502A).  T</w:t>
      </w:r>
      <w:r w:rsidR="00BE46EF">
        <w:rPr>
          <w:bCs/>
        </w:rPr>
        <w:t xml:space="preserve">he Ptolemaic king Philopator is referred to as </w:t>
      </w:r>
      <w:r w:rsidR="00BE46EF">
        <w:rPr>
          <w:rFonts w:ascii="Gentium Plus" w:hAnsi="Gentium Plus"/>
          <w:bCs/>
          <w:lang w:val="el-GR"/>
        </w:rPr>
        <w:t>εἰκών τοῦ Διός</w:t>
      </w:r>
      <w:r w:rsidR="00BE46EF">
        <w:rPr>
          <w:bCs/>
        </w:rPr>
        <w:t xml:space="preserve">, while Ptolemy V is spoken of as </w:t>
      </w:r>
      <w:r w:rsidR="00BE46EF">
        <w:rPr>
          <w:rFonts w:ascii="Gentium Plus" w:hAnsi="Gentium Plus"/>
          <w:bCs/>
          <w:lang w:val="el-GR"/>
        </w:rPr>
        <w:t>εἰκὼν ζῶσα τοῦ Διός</w:t>
      </w:r>
      <w:r w:rsidR="00BE46EF">
        <w:rPr>
          <w:bCs/>
        </w:rPr>
        <w:t>.</w:t>
      </w:r>
      <w:r w:rsidR="00BE46EF">
        <w:rPr>
          <w:rStyle w:val="FootnoteReference"/>
          <w:bCs/>
        </w:rPr>
        <w:footnoteReference w:id="103"/>
      </w:r>
      <w:r w:rsidR="00BE46EF">
        <w:rPr>
          <w:bCs/>
        </w:rPr>
        <w:t xml:space="preserve">  </w:t>
      </w:r>
      <w:r w:rsidR="005B247F">
        <w:rPr>
          <w:bCs/>
        </w:rPr>
        <w:t xml:space="preserve">In his </w:t>
      </w:r>
      <w:r w:rsidR="005B247F" w:rsidRPr="005B247F">
        <w:rPr>
          <w:bCs/>
          <w:i/>
          <w:iCs/>
        </w:rPr>
        <w:t>To an Uneducated Ruler</w:t>
      </w:r>
      <w:r w:rsidR="005B247F">
        <w:rPr>
          <w:bCs/>
        </w:rPr>
        <w:t xml:space="preserve"> Plutarch </w:t>
      </w:r>
      <w:r w:rsidR="00B34A0C">
        <w:rPr>
          <w:bCs/>
        </w:rPr>
        <w:t>says</w:t>
      </w:r>
      <w:r w:rsidR="005B247F">
        <w:rPr>
          <w:bCs/>
        </w:rPr>
        <w:t xml:space="preserve"> “the ruler is the image of God who orders all things” (</w:t>
      </w:r>
      <w:r w:rsidR="005B247F">
        <w:rPr>
          <w:rFonts w:ascii="Gentium Plus" w:hAnsi="Gentium Plus"/>
          <w:bCs/>
          <w:lang w:val="el-GR"/>
        </w:rPr>
        <w:t>ἄρχων δ᾽ εἰκὼν θεοῦ τοῦ πάντα κοσμοῦντος</w:t>
      </w:r>
      <w:r w:rsidR="005B247F">
        <w:rPr>
          <w:bCs/>
        </w:rPr>
        <w:t>, 780d).</w:t>
      </w:r>
      <w:r w:rsidR="00491D14">
        <w:rPr>
          <w:bCs/>
        </w:rPr>
        <w:t xml:space="preserve"> </w:t>
      </w:r>
      <w:r w:rsidR="005B247F">
        <w:rPr>
          <w:bCs/>
        </w:rPr>
        <w:t xml:space="preserve"> The ruler’s divine image consis</w:t>
      </w:r>
      <w:r w:rsidR="00F7021D">
        <w:rPr>
          <w:bCs/>
        </w:rPr>
        <w:t>ts in the fact that</w:t>
      </w:r>
      <w:r w:rsidR="005B247F">
        <w:rPr>
          <w:bCs/>
        </w:rPr>
        <w:t xml:space="preserve"> “rulers serve god for the care and preserva</w:t>
      </w:r>
      <w:r w:rsidR="001D0C2C">
        <w:rPr>
          <w:bCs/>
        </w:rPr>
        <w:t>tion of men” (780d-e). The king</w:t>
      </w:r>
      <w:r w:rsidR="005B247F">
        <w:rPr>
          <w:bCs/>
        </w:rPr>
        <w:t xml:space="preserve"> is responsible for maintaining cosmic harmony and distributing the gifts of the gods to humans (</w:t>
      </w:r>
      <w:r w:rsidR="001D0C2C">
        <w:rPr>
          <w:bCs/>
        </w:rPr>
        <w:t>780f).  S</w:t>
      </w:r>
      <w:r w:rsidR="00DC3ECD">
        <w:rPr>
          <w:bCs/>
        </w:rPr>
        <w:t xml:space="preserve">imilarly, when Themistocles has an </w:t>
      </w:r>
      <w:r w:rsidR="001D0C2C">
        <w:rPr>
          <w:bCs/>
        </w:rPr>
        <w:t xml:space="preserve">interview with the Persian king, he is told that </w:t>
      </w:r>
      <w:r w:rsidR="00DC3ECD">
        <w:rPr>
          <w:bCs/>
        </w:rPr>
        <w:t>for</w:t>
      </w:r>
      <w:r w:rsidR="001D0C2C">
        <w:rPr>
          <w:bCs/>
        </w:rPr>
        <w:t xml:space="preserve"> Persian</w:t>
      </w:r>
      <w:r w:rsidR="00DC3ECD">
        <w:rPr>
          <w:bCs/>
        </w:rPr>
        <w:t>s</w:t>
      </w:r>
      <w:r w:rsidR="001D0C2C">
        <w:rPr>
          <w:bCs/>
        </w:rPr>
        <w:t xml:space="preserve"> “it is the fairest of all to honor the king, and to pay obeisance to him as the image of the god (</w:t>
      </w:r>
      <w:r w:rsidR="001D0C2C">
        <w:rPr>
          <w:rFonts w:ascii="Gentium Plus" w:hAnsi="Gentium Plus"/>
          <w:bCs/>
          <w:lang w:val="el-GR"/>
        </w:rPr>
        <w:t>ὡς εἰκόνα θεοῦ</w:t>
      </w:r>
      <w:r w:rsidR="001D0C2C">
        <w:rPr>
          <w:bCs/>
        </w:rPr>
        <w:t>) who is the preserver of all things” (</w:t>
      </w:r>
      <w:r w:rsidR="001D0C2C">
        <w:rPr>
          <w:bCs/>
          <w:i/>
        </w:rPr>
        <w:t>Themistocles</w:t>
      </w:r>
      <w:r w:rsidR="001D0C2C">
        <w:rPr>
          <w:bCs/>
        </w:rPr>
        <w:t xml:space="preserve"> 125).</w:t>
      </w:r>
      <w:r w:rsidR="007D3596">
        <w:rPr>
          <w:bCs/>
        </w:rPr>
        <w:t xml:space="preserve"> </w:t>
      </w:r>
      <w:r w:rsidR="00266C42">
        <w:rPr>
          <w:bCs/>
        </w:rPr>
        <w:t xml:space="preserve"> And Diotogenes says “the royal office is an imitation of god” (Stob. 4.7.62)</w:t>
      </w:r>
    </w:p>
    <w:p w14:paraId="541FAC43" w14:textId="4ADB7CD5" w:rsidR="00F95942" w:rsidRDefault="007333D4" w:rsidP="00FE0151">
      <w:pPr>
        <w:spacing w:line="480" w:lineRule="auto"/>
        <w:ind w:firstLine="360"/>
        <w:jc w:val="both"/>
        <w:rPr>
          <w:bCs/>
        </w:rPr>
      </w:pPr>
      <w:r>
        <w:rPr>
          <w:bCs/>
        </w:rPr>
        <w:t>But most scholars rightly discern that the primary context</w:t>
      </w:r>
      <w:r w:rsidR="00C03BCC">
        <w:rPr>
          <w:bCs/>
        </w:rPr>
        <w:t xml:space="preserve"> for understanding the son a</w:t>
      </w:r>
      <w:r>
        <w:rPr>
          <w:bCs/>
        </w:rPr>
        <w:t>s “the image of the invisible God” is the figure of Adam who was made “according to the image of God” (</w:t>
      </w:r>
      <w:r>
        <w:rPr>
          <w:rFonts w:ascii="Gentium Plus" w:hAnsi="Gentium Plus"/>
          <w:bCs/>
          <w:lang w:val="el-GR"/>
        </w:rPr>
        <w:t>κατ᾽ εἰκόνα θεοῦ</w:t>
      </w:r>
      <w:r>
        <w:rPr>
          <w:bCs/>
        </w:rPr>
        <w:t>, Gen. 1:27).</w:t>
      </w:r>
      <w:r w:rsidR="00B34A0C">
        <w:rPr>
          <w:rStyle w:val="FootnoteReference"/>
          <w:bCs/>
        </w:rPr>
        <w:footnoteReference w:id="104"/>
      </w:r>
      <w:r>
        <w:rPr>
          <w:bCs/>
        </w:rPr>
        <w:t xml:space="preserve">  Without entering into </w:t>
      </w:r>
      <w:r w:rsidR="00C03BCC">
        <w:rPr>
          <w:bCs/>
        </w:rPr>
        <w:t>a</w:t>
      </w:r>
      <w:r>
        <w:rPr>
          <w:bCs/>
        </w:rPr>
        <w:t xml:space="preserve"> detailed discussion of what this precis</w:t>
      </w:r>
      <w:r w:rsidR="00C03BCC">
        <w:rPr>
          <w:bCs/>
        </w:rPr>
        <w:t>ely entails, one would not go</w:t>
      </w:r>
      <w:r>
        <w:rPr>
          <w:bCs/>
        </w:rPr>
        <w:t xml:space="preserve"> astray by noting Adam’s commission to rule and have dominion. As God’s image, Adam is created to “rule” over all of creation (Gen. 1:26).</w:t>
      </w:r>
      <w:r w:rsidR="00C8199A">
        <w:rPr>
          <w:bCs/>
        </w:rPr>
        <w:t xml:space="preserve">  All of creation is to be the dominion for God’s image as it is commanded to “increase and multiple and fill the earth, and have dominion over it and rule over (</w:t>
      </w:r>
      <w:r w:rsidR="00C8199A">
        <w:rPr>
          <w:rFonts w:ascii="Gentium Plus" w:hAnsi="Gentium Plus"/>
          <w:bCs/>
          <w:lang w:val="el-GR"/>
        </w:rPr>
        <w:t>Αὐξάνεσθε καὶ πληθύνεσθε καὶ πληρώσατε τὴν γῆν καὶ κατακυριεύσατε αὐτῆς καὶ ἄρχετε...</w:t>
      </w:r>
      <w:r w:rsidR="00C8199A">
        <w:rPr>
          <w:bCs/>
        </w:rPr>
        <w:t>)” all creation (Gen. 1</w:t>
      </w:r>
      <w:r w:rsidR="00C03BCC">
        <w:rPr>
          <w:bCs/>
        </w:rPr>
        <w:t>:28). The language is undeniably</w:t>
      </w:r>
      <w:r w:rsidR="00C8199A">
        <w:rPr>
          <w:bCs/>
        </w:rPr>
        <w:t xml:space="preserve"> royal as it uses the language of dominion, rule, and lordship and even commands “the image of God” to expand the dominion over all creation.</w:t>
      </w:r>
      <w:r w:rsidR="00C03BCC">
        <w:rPr>
          <w:bCs/>
        </w:rPr>
        <w:t xml:space="preserve">  Psalm 8 </w:t>
      </w:r>
      <w:r w:rsidR="008C5AEF">
        <w:rPr>
          <w:bCs/>
        </w:rPr>
        <w:t>confirm</w:t>
      </w:r>
      <w:r w:rsidR="00C03BCC">
        <w:rPr>
          <w:bCs/>
        </w:rPr>
        <w:t>s</w:t>
      </w:r>
      <w:r w:rsidR="008C5AEF">
        <w:rPr>
          <w:bCs/>
        </w:rPr>
        <w:t xml:space="preserve"> this, for here humanity is created to have dominion over God’s creation (Ps. 8:4-8). </w:t>
      </w:r>
      <w:r w:rsidR="00F95942">
        <w:rPr>
          <w:bCs/>
        </w:rPr>
        <w:t xml:space="preserve"> Whatever, then, the “image of God,” might mean, it is clearly related in a representative way to the God that it images and to the creation over which it rules and has dominion.</w:t>
      </w:r>
      <w:r w:rsidR="00F95942">
        <w:rPr>
          <w:rStyle w:val="FootnoteReference"/>
          <w:bCs/>
        </w:rPr>
        <w:footnoteReference w:id="105"/>
      </w:r>
    </w:p>
    <w:p w14:paraId="05BD3FD7" w14:textId="07C829BD" w:rsidR="00FA325C" w:rsidRDefault="008C5AEF" w:rsidP="00B710F7">
      <w:pPr>
        <w:widowControl w:val="0"/>
        <w:autoSpaceDE w:val="0"/>
        <w:autoSpaceDN w:val="0"/>
        <w:adjustRightInd w:val="0"/>
        <w:spacing w:line="480" w:lineRule="auto"/>
        <w:ind w:firstLine="360"/>
        <w:jc w:val="both"/>
        <w:rPr>
          <w:sz w:val="23"/>
          <w:szCs w:val="23"/>
        </w:rPr>
      </w:pPr>
      <w:r>
        <w:rPr>
          <w:bCs/>
        </w:rPr>
        <w:t>Most have discerned in Gen. 1:26-28 and Ps. 8 a royal ideology akin to what is found in other Ancient Near Eas</w:t>
      </w:r>
      <w:r w:rsidR="00C03BCC">
        <w:rPr>
          <w:bCs/>
        </w:rPr>
        <w:t xml:space="preserve">tern cultures where the king </w:t>
      </w:r>
      <w:r>
        <w:rPr>
          <w:bCs/>
        </w:rPr>
        <w:t>is the representative or even incarnation of the god</w:t>
      </w:r>
      <w:r w:rsidR="00FA325C">
        <w:rPr>
          <w:bCs/>
        </w:rPr>
        <w:t>, often with the king establishing his image in the temple of conquered territories as a sign of his rule</w:t>
      </w:r>
      <w:r>
        <w:rPr>
          <w:bCs/>
        </w:rPr>
        <w:t>.</w:t>
      </w:r>
      <w:r>
        <w:rPr>
          <w:rStyle w:val="FootnoteReference"/>
          <w:bCs/>
        </w:rPr>
        <w:footnoteReference w:id="106"/>
      </w:r>
      <w:r w:rsidR="00F95942" w:rsidRPr="00F95942">
        <w:rPr>
          <w:bCs/>
        </w:rPr>
        <w:t xml:space="preserve"> </w:t>
      </w:r>
      <w:r w:rsidR="00B710F7">
        <w:rPr>
          <w:bCs/>
        </w:rPr>
        <w:t xml:space="preserve">I will cite just </w:t>
      </w:r>
      <w:r w:rsidR="00FA325C">
        <w:rPr>
          <w:bCs/>
        </w:rPr>
        <w:t>two</w:t>
      </w:r>
      <w:r w:rsidR="00B710F7">
        <w:rPr>
          <w:bCs/>
        </w:rPr>
        <w:t xml:space="preserve"> of numerous examples.</w:t>
      </w:r>
      <w:r w:rsidR="00B710F7">
        <w:rPr>
          <w:rStyle w:val="FootnoteReference"/>
          <w:bCs/>
        </w:rPr>
        <w:footnoteReference w:id="107"/>
      </w:r>
      <w:r w:rsidR="00B710F7">
        <w:rPr>
          <w:bCs/>
        </w:rPr>
        <w:t xml:space="preserve">  I</w:t>
      </w:r>
      <w:r w:rsidR="00F95942">
        <w:rPr>
          <w:bCs/>
        </w:rPr>
        <w:t xml:space="preserve">n the Tukulti-Ninurta epic the </w:t>
      </w:r>
      <w:r w:rsidR="0070039D">
        <w:rPr>
          <w:bCs/>
        </w:rPr>
        <w:t xml:space="preserve">Assyrian king </w:t>
      </w:r>
      <w:r w:rsidR="00F95942">
        <w:rPr>
          <w:bCs/>
        </w:rPr>
        <w:t>is described</w:t>
      </w:r>
      <w:r w:rsidR="00A127E8">
        <w:rPr>
          <w:bCs/>
        </w:rPr>
        <w:t xml:space="preserve"> </w:t>
      </w:r>
      <w:r w:rsidR="00A127E8" w:rsidRPr="00A127E8">
        <w:rPr>
          <w:bCs/>
          <w:i/>
          <w:iCs/>
        </w:rPr>
        <w:t>within a hymn</w:t>
      </w:r>
      <w:r w:rsidR="00F95942">
        <w:rPr>
          <w:bCs/>
        </w:rPr>
        <w:t xml:space="preserve"> as “the eternal image of Enlil” and the “fir</w:t>
      </w:r>
      <w:r w:rsidR="0070039D">
        <w:rPr>
          <w:bCs/>
        </w:rPr>
        <w:t>stborn son” of the god.</w:t>
      </w:r>
      <w:r w:rsidR="00A127E8">
        <w:rPr>
          <w:rStyle w:val="FootnoteReference"/>
          <w:bCs/>
        </w:rPr>
        <w:footnoteReference w:id="108"/>
      </w:r>
      <w:r w:rsidR="0070039D">
        <w:rPr>
          <w:bCs/>
        </w:rPr>
        <w:t xml:space="preserve"> T</w:t>
      </w:r>
      <w:r w:rsidR="00F95942">
        <w:rPr>
          <w:bCs/>
        </w:rPr>
        <w:t>he relationship between Enlil and the king is one where the king part</w:t>
      </w:r>
      <w:r w:rsidR="0070039D">
        <w:rPr>
          <w:bCs/>
        </w:rPr>
        <w:t>icipates in the god’s rule and produces harmony</w:t>
      </w:r>
      <w:r w:rsidR="00F95942">
        <w:rPr>
          <w:bCs/>
        </w:rPr>
        <w:t xml:space="preserve"> for creation.</w:t>
      </w:r>
      <w:r w:rsidR="00B710F7">
        <w:rPr>
          <w:bCs/>
        </w:rPr>
        <w:t xml:space="preserve"> David Clines notes that Assyrian kings were consistently spoken of as the image of God, and he notes the king Esarhaddon who is addressed by his official: </w:t>
      </w:r>
      <w:r w:rsidR="00B710F7">
        <w:rPr>
          <w:rFonts w:ascii="Cambria" w:hAnsi="Cambria" w:cs="Times New Roman"/>
          <w:bCs/>
        </w:rPr>
        <w:t>“</w:t>
      </w:r>
      <w:r w:rsidR="00B710F7" w:rsidRPr="00F81816">
        <w:rPr>
          <w:rFonts w:ascii="Cambria" w:hAnsi="Cambria" w:cs="Times New Roman"/>
          <w:bCs/>
        </w:rPr>
        <w:t xml:space="preserve">The father of the king, my lord, was the very image of Bel, and the king, my lord, is likewise the very image of </w:t>
      </w:r>
      <w:r w:rsidR="00B710F7">
        <w:rPr>
          <w:rFonts w:ascii="Cambria" w:hAnsi="Cambria" w:cs="Times New Roman"/>
          <w:bCs/>
        </w:rPr>
        <w:t>Bel.”</w:t>
      </w:r>
      <w:r w:rsidR="00B710F7">
        <w:rPr>
          <w:rStyle w:val="FootnoteReference"/>
          <w:rFonts w:ascii="Cambria" w:hAnsi="Cambria" w:cs="Times New Roman"/>
          <w:bCs/>
        </w:rPr>
        <w:footnoteReference w:id="109"/>
      </w:r>
      <w:r w:rsidR="00FA325C" w:rsidRPr="00FA325C">
        <w:rPr>
          <w:sz w:val="23"/>
          <w:szCs w:val="23"/>
        </w:rPr>
        <w:t xml:space="preserve"> </w:t>
      </w:r>
    </w:p>
    <w:p w14:paraId="30D5EDD2" w14:textId="056EDE68" w:rsidR="007333D4" w:rsidRPr="00FA325C" w:rsidRDefault="00FA325C" w:rsidP="00B710F7">
      <w:pPr>
        <w:widowControl w:val="0"/>
        <w:autoSpaceDE w:val="0"/>
        <w:autoSpaceDN w:val="0"/>
        <w:adjustRightInd w:val="0"/>
        <w:spacing w:line="480" w:lineRule="auto"/>
        <w:ind w:firstLine="360"/>
        <w:jc w:val="both"/>
        <w:rPr>
          <w:rFonts w:ascii="Cambria" w:hAnsi="Cambria" w:cs="Times New Roman"/>
          <w:bCs/>
        </w:rPr>
      </w:pPr>
      <w:r w:rsidRPr="00FA325C">
        <w:t>Returning to Gen. 1:26-28, Gerhard von Rad rightly states, “God set man in the world as the sign of his own sovereign authority, in order that man should uphold and enforce his – God’s – claims as lord.”</w:t>
      </w:r>
      <w:r w:rsidRPr="00FA325C">
        <w:rPr>
          <w:rStyle w:val="FootnoteReference"/>
        </w:rPr>
        <w:footnoteReference w:id="110"/>
      </w:r>
      <w:r w:rsidRPr="00FA325C">
        <w:t xml:space="preserve">  Adam is commissioned to “subdue” (</w:t>
      </w:r>
      <w:r w:rsidRPr="00FA325C">
        <w:rPr>
          <w:rFonts w:ascii="Hebpar" w:hAnsi="Hebpar" w:cs="Hebpar"/>
        </w:rPr>
        <w:t>vb^K</w:t>
      </w:r>
      <w:r w:rsidRPr="00FA325C">
        <w:t>) and “rule” (</w:t>
      </w:r>
      <w:r w:rsidRPr="00FA325C">
        <w:rPr>
          <w:rFonts w:ascii="Hebpar" w:hAnsi="Hebpar" w:cs="Hebpar"/>
        </w:rPr>
        <w:t>hd*r</w:t>
      </w:r>
      <w:r w:rsidRPr="00FA325C">
        <w:t>) over the earth as God’s sover</w:t>
      </w:r>
      <w:r w:rsidR="00866148">
        <w:t>eign representative (Gen. 1:28), maintaining and expanding the divine order of God’s creation.</w:t>
      </w:r>
      <w:r w:rsidR="00866148">
        <w:rPr>
          <w:rStyle w:val="FootnoteReference"/>
        </w:rPr>
        <w:footnoteReference w:id="111"/>
      </w:r>
      <w:r w:rsidRPr="00FA325C">
        <w:t xml:space="preserve">  These words are consistently used throughout the Hebrew Scriptures to denote the authority and power of royal figures.</w:t>
      </w:r>
      <w:r w:rsidRPr="00FA325C">
        <w:rPr>
          <w:rStyle w:val="FootnoteReference"/>
        </w:rPr>
        <w:footnoteReference w:id="112"/>
      </w:r>
      <w:r w:rsidRPr="00FA325C">
        <w:t xml:space="preserve">  Significantly, the words frequently occur in eschatological contexts that look forward to an ideal messianic king who will rule God’s kingdom.</w:t>
      </w:r>
      <w:r w:rsidRPr="00FA325C">
        <w:rPr>
          <w:rStyle w:val="FootnoteReference"/>
        </w:rPr>
        <w:footnoteReference w:id="113"/>
      </w:r>
      <w:r w:rsidRPr="00FA325C">
        <w:t xml:space="preserve">   It is hard to escape the conclusion that </w:t>
      </w:r>
      <w:r w:rsidR="0070039D">
        <w:t>Adam</w:t>
      </w:r>
      <w:r w:rsidR="00DC3ECD">
        <w:t>,</w:t>
      </w:r>
      <w:r w:rsidRPr="00FA325C">
        <w:t xml:space="preserve"> as God’s image</w:t>
      </w:r>
      <w:r w:rsidR="00DC3ECD">
        <w:t>,</w:t>
      </w:r>
      <w:r w:rsidRPr="00FA325C">
        <w:t xml:space="preserve"> is the </w:t>
      </w:r>
      <w:r w:rsidR="0070039D">
        <w:t>context</w:t>
      </w:r>
      <w:r w:rsidRPr="00FA325C">
        <w:t xml:space="preserve"> for </w:t>
      </w:r>
      <w:r w:rsidR="0070039D">
        <w:t>some</w:t>
      </w:r>
      <w:r w:rsidRPr="00FA325C">
        <w:t xml:space="preserve"> later messianic </w:t>
      </w:r>
      <w:r w:rsidR="0070039D">
        <w:t>praises</w:t>
      </w:r>
      <w:r w:rsidR="00866148">
        <w:t xml:space="preserve"> where similar commands of “rule” are given to </w:t>
      </w:r>
      <w:r w:rsidR="00DC3ECD">
        <w:t>a coming Israelite</w:t>
      </w:r>
      <w:r w:rsidR="00866148">
        <w:t xml:space="preserve"> king</w:t>
      </w:r>
      <w:r w:rsidRPr="00FA325C">
        <w:t xml:space="preserve"> (Num. 24:17-19; Ps</w:t>
      </w:r>
      <w:r w:rsidR="00026928">
        <w:t>. 72:8-11)</w:t>
      </w:r>
      <w:r w:rsidR="00DC3ECD">
        <w:t>.  For example, in Psalm</w:t>
      </w:r>
      <w:r w:rsidRPr="00FA325C">
        <w:t xml:space="preserve"> 110 the king at the right hand of God is commanded “Rule!” w</w:t>
      </w:r>
      <w:r w:rsidR="00026928">
        <w:t>ith linguistic echoes of Gen.</w:t>
      </w:r>
      <w:r w:rsidRPr="00FA325C">
        <w:t xml:space="preserve"> 1.</w:t>
      </w:r>
      <w:r w:rsidR="0070039D">
        <w:rPr>
          <w:rStyle w:val="FootnoteReference"/>
        </w:rPr>
        <w:footnoteReference w:id="114"/>
      </w:r>
      <w:r w:rsidR="00026928">
        <w:t xml:space="preserve">  </w:t>
      </w:r>
      <w:r w:rsidRPr="00FA325C">
        <w:t xml:space="preserve">Adam is God’s royal </w:t>
      </w:r>
      <w:r w:rsidR="00DC3ECD">
        <w:t>rule</w:t>
      </w:r>
      <w:r w:rsidRPr="00FA325C">
        <w:t xml:space="preserve">, imbued as God’s chosen kingly son, who is commissioned to act as God’s sovereign, subduing and ruling </w:t>
      </w:r>
      <w:r w:rsidR="00DC3ECD">
        <w:t>the earth for God</w:t>
      </w:r>
      <w:r w:rsidRPr="00FA325C">
        <w:t>.</w:t>
      </w:r>
      <w:r w:rsidRPr="00FA325C">
        <w:rPr>
          <w:rStyle w:val="FootnoteReference"/>
        </w:rPr>
        <w:footnoteReference w:id="115"/>
      </w:r>
      <w:r w:rsidRPr="00FA325C">
        <w:t xml:space="preserve">  </w:t>
      </w:r>
    </w:p>
    <w:p w14:paraId="7B9B9E42" w14:textId="6642E5A8" w:rsidR="00296230" w:rsidRDefault="00491D14" w:rsidP="00296230">
      <w:pPr>
        <w:spacing w:line="480" w:lineRule="auto"/>
        <w:ind w:firstLine="360"/>
        <w:jc w:val="both"/>
        <w:rPr>
          <w:bCs/>
        </w:rPr>
      </w:pPr>
      <w:r>
        <w:rPr>
          <w:bCs/>
        </w:rPr>
        <w:t>T</w:t>
      </w:r>
      <w:r w:rsidR="00296230">
        <w:rPr>
          <w:bCs/>
        </w:rPr>
        <w:t xml:space="preserve">here is one more </w:t>
      </w:r>
      <w:r w:rsidR="0070039D">
        <w:rPr>
          <w:bCs/>
        </w:rPr>
        <w:t xml:space="preserve">important </w:t>
      </w:r>
      <w:r w:rsidR="00296230">
        <w:rPr>
          <w:bCs/>
        </w:rPr>
        <w:t>aspect of “th</w:t>
      </w:r>
      <w:r w:rsidR="0070039D">
        <w:rPr>
          <w:bCs/>
        </w:rPr>
        <w:t xml:space="preserve">e image of God” in Gen. 1:26-28, namely, </w:t>
      </w:r>
      <w:r w:rsidR="00296230">
        <w:rPr>
          <w:bCs/>
        </w:rPr>
        <w:t xml:space="preserve">the </w:t>
      </w:r>
      <w:r w:rsidR="0070039D">
        <w:rPr>
          <w:bCs/>
        </w:rPr>
        <w:t>statement</w:t>
      </w:r>
      <w:r w:rsidR="00296230">
        <w:rPr>
          <w:bCs/>
        </w:rPr>
        <w:t xml:space="preserve"> that Adam was cre</w:t>
      </w:r>
      <w:r w:rsidR="00FE5DDC">
        <w:rPr>
          <w:bCs/>
        </w:rPr>
        <w:t xml:space="preserve">ated “male and female” and </w:t>
      </w:r>
      <w:r w:rsidR="00296230">
        <w:rPr>
          <w:bCs/>
        </w:rPr>
        <w:t>was given a blessing to reproduce and procreate (1:28).</w:t>
      </w:r>
      <w:r w:rsidR="00296230">
        <w:rPr>
          <w:rStyle w:val="FootnoteReference"/>
          <w:bCs/>
        </w:rPr>
        <w:footnoteReference w:id="116"/>
      </w:r>
      <w:r w:rsidR="00296230">
        <w:rPr>
          <w:bCs/>
        </w:rPr>
        <w:t xml:space="preserve"> </w:t>
      </w:r>
      <w:r w:rsidR="00FE5DDC">
        <w:rPr>
          <w:bCs/>
        </w:rPr>
        <w:t xml:space="preserve">One of the ways, then, in which humanity exercises its rule and dominion over creation is through the procreation of more image-bearers. </w:t>
      </w:r>
      <w:r w:rsidR="0070039D">
        <w:rPr>
          <w:bCs/>
        </w:rPr>
        <w:t xml:space="preserve">So </w:t>
      </w:r>
      <w:r w:rsidR="00FE5DDC">
        <w:rPr>
          <w:bCs/>
        </w:rPr>
        <w:t>it is no accident tha</w:t>
      </w:r>
      <w:r w:rsidR="0070039D">
        <w:rPr>
          <w:bCs/>
        </w:rPr>
        <w:t xml:space="preserve">t the second time the author </w:t>
      </w:r>
      <w:r w:rsidR="00FE5DDC">
        <w:rPr>
          <w:bCs/>
        </w:rPr>
        <w:t>refers to God’s creation of Adam “according to the image of God” (</w:t>
      </w:r>
      <w:r w:rsidR="00FE5DDC">
        <w:rPr>
          <w:rFonts w:ascii="Gentium Plus" w:hAnsi="Gentium Plus"/>
          <w:bCs/>
          <w:lang w:val="el-GR"/>
        </w:rPr>
        <w:t>κατ᾽ εἰκόνα θεοῦ</w:t>
      </w:r>
      <w:r w:rsidR="00FE5DDC">
        <w:rPr>
          <w:bCs/>
        </w:rPr>
        <w:t>, 5:1) what then follows is a genealogy consisting in Adam’s procreative activity.</w:t>
      </w:r>
      <w:r w:rsidR="00E4195B">
        <w:rPr>
          <w:rStyle w:val="FootnoteReference"/>
          <w:bCs/>
        </w:rPr>
        <w:footnoteReference w:id="117"/>
      </w:r>
    </w:p>
    <w:p w14:paraId="13D94373" w14:textId="350066A5" w:rsidR="006F6C00" w:rsidRPr="00712D4B" w:rsidRDefault="003D7C35" w:rsidP="00712D4B">
      <w:pPr>
        <w:spacing w:line="480" w:lineRule="auto"/>
        <w:ind w:firstLine="360"/>
        <w:jc w:val="both"/>
        <w:rPr>
          <w:rFonts w:ascii="Cambria" w:hAnsi="Cambria"/>
          <w:bCs/>
        </w:rPr>
      </w:pPr>
      <w:r>
        <w:rPr>
          <w:bCs/>
        </w:rPr>
        <w:t>Situating</w:t>
      </w:r>
      <w:r w:rsidR="0070039D">
        <w:rPr>
          <w:bCs/>
        </w:rPr>
        <w:t xml:space="preserve"> </w:t>
      </w:r>
      <w:r w:rsidR="0070039D">
        <w:rPr>
          <w:rFonts w:ascii="Gentium Plus" w:hAnsi="Gentium Plus"/>
          <w:bCs/>
          <w:lang w:val="el-GR"/>
        </w:rPr>
        <w:t>εἰκὼν τοῦ θεοῦ ἀοράτου</w:t>
      </w:r>
      <w:r>
        <w:rPr>
          <w:bCs/>
        </w:rPr>
        <w:t xml:space="preserve"> in a </w:t>
      </w:r>
      <w:r w:rsidR="0070039D">
        <w:rPr>
          <w:bCs/>
        </w:rPr>
        <w:t>royal context</w:t>
      </w:r>
      <w:r w:rsidR="00866148">
        <w:rPr>
          <w:bCs/>
        </w:rPr>
        <w:t xml:space="preserve"> should </w:t>
      </w:r>
      <w:r w:rsidR="00DC3ECD">
        <w:rPr>
          <w:bCs/>
        </w:rPr>
        <w:t>occasion no</w:t>
      </w:r>
      <w:r w:rsidR="00866148">
        <w:rPr>
          <w:bCs/>
        </w:rPr>
        <w:t xml:space="preserve"> </w:t>
      </w:r>
      <w:r w:rsidR="00212CF5">
        <w:rPr>
          <w:bCs/>
        </w:rPr>
        <w:t xml:space="preserve">surprise </w:t>
      </w:r>
      <w:r w:rsidR="00DC3ECD">
        <w:rPr>
          <w:bCs/>
        </w:rPr>
        <w:t xml:space="preserve">to </w:t>
      </w:r>
      <w:r w:rsidR="00212CF5">
        <w:rPr>
          <w:bCs/>
        </w:rPr>
        <w:t>the student of Paul</w:t>
      </w:r>
      <w:r w:rsidR="00F95942">
        <w:rPr>
          <w:bCs/>
        </w:rPr>
        <w:t xml:space="preserve"> g</w:t>
      </w:r>
      <w:r w:rsidR="00296230">
        <w:rPr>
          <w:bCs/>
        </w:rPr>
        <w:t xml:space="preserve">iven that when Adam is named </w:t>
      </w:r>
      <w:r w:rsidR="00866148">
        <w:rPr>
          <w:bCs/>
        </w:rPr>
        <w:t xml:space="preserve">in his epistles </w:t>
      </w:r>
      <w:r w:rsidR="00F95942">
        <w:rPr>
          <w:bCs/>
        </w:rPr>
        <w:t>he appears in explicitly royal contexts (cf. Rom. 5:12-21; 1 Cor. 15:20-28).</w:t>
      </w:r>
      <w:r w:rsidR="00F95942">
        <w:rPr>
          <w:rStyle w:val="FootnoteReference"/>
          <w:bCs/>
        </w:rPr>
        <w:footnoteReference w:id="118"/>
      </w:r>
      <w:r w:rsidR="0070039D">
        <w:rPr>
          <w:bCs/>
        </w:rPr>
        <w:t xml:space="preserve"> And </w:t>
      </w:r>
      <w:r w:rsidR="00212CF5">
        <w:rPr>
          <w:bCs/>
        </w:rPr>
        <w:t>as Sean McDonough has noted</w:t>
      </w:r>
      <w:r w:rsidR="00DC3ECD">
        <w:rPr>
          <w:bCs/>
        </w:rPr>
        <w:t>,</w:t>
      </w:r>
      <w:r w:rsidR="00212CF5">
        <w:rPr>
          <w:bCs/>
        </w:rPr>
        <w:t xml:space="preserve"> when</w:t>
      </w:r>
      <w:r>
        <w:rPr>
          <w:bCs/>
        </w:rPr>
        <w:t xml:space="preserve"> Paul uses the word</w:t>
      </w:r>
      <w:r w:rsidR="0070039D">
        <w:rPr>
          <w:bCs/>
        </w:rPr>
        <w:t xml:space="preserve"> </w:t>
      </w:r>
      <w:r w:rsidR="0070039D">
        <w:rPr>
          <w:rFonts w:ascii="Gentium Plus" w:hAnsi="Gentium Plus"/>
          <w:bCs/>
          <w:lang w:val="el-GR"/>
        </w:rPr>
        <w:t>εἰκών</w:t>
      </w:r>
      <w:r>
        <w:rPr>
          <w:bCs/>
        </w:rPr>
        <w:t xml:space="preserve"> </w:t>
      </w:r>
      <w:r w:rsidR="00212CF5">
        <w:rPr>
          <w:bCs/>
        </w:rPr>
        <w:t>it almost always echoes Adam and the creation narrative of Gen. 1 (e.g., Rom. 8:29; 1 Cor. 11:7; 15:49; 2 Cor. 3:18; 4:4; Col. 3:10).</w:t>
      </w:r>
      <w:r w:rsidR="00212CF5">
        <w:rPr>
          <w:rStyle w:val="FootnoteReference"/>
          <w:bCs/>
        </w:rPr>
        <w:footnoteReference w:id="119"/>
      </w:r>
      <w:r>
        <w:rPr>
          <w:bCs/>
        </w:rPr>
        <w:t xml:space="preserve">  The simple point here</w:t>
      </w:r>
      <w:r w:rsidR="00026928">
        <w:rPr>
          <w:bCs/>
        </w:rPr>
        <w:t xml:space="preserve">, then, is that when Paul names “the beloved son” as </w:t>
      </w:r>
      <w:r w:rsidR="00026928">
        <w:rPr>
          <w:rFonts w:ascii="Gentium Plus" w:hAnsi="Gentium Plus"/>
          <w:bCs/>
          <w:lang w:val="el-GR"/>
        </w:rPr>
        <w:t xml:space="preserve">εἰκὼν τοῦ θεοῦ ἀοράτου </w:t>
      </w:r>
      <w:r w:rsidR="00026928">
        <w:rPr>
          <w:rFonts w:ascii="Cambria" w:hAnsi="Cambria"/>
          <w:bCs/>
          <w:lang w:val="el-GR"/>
        </w:rPr>
        <w:t xml:space="preserve">he taps into royal language, language that emphasizes God’s election of </w:t>
      </w:r>
      <w:r w:rsidR="00DC3ECD">
        <w:rPr>
          <w:rFonts w:ascii="Cambria" w:hAnsi="Cambria"/>
          <w:bCs/>
          <w:lang w:val="el-GR"/>
        </w:rPr>
        <w:t>the Messiah</w:t>
      </w:r>
      <w:r w:rsidR="00026928">
        <w:rPr>
          <w:rFonts w:ascii="Cambria" w:hAnsi="Cambria"/>
          <w:bCs/>
          <w:lang w:val="el-GR"/>
        </w:rPr>
        <w:t xml:space="preserve"> to rule as his kingly representative over all of creation and and thereby produce cosmic harmony.</w:t>
      </w:r>
      <w:r w:rsidR="00515B34">
        <w:rPr>
          <w:rStyle w:val="FootnoteReference"/>
          <w:rFonts w:ascii="Cambria" w:hAnsi="Cambria"/>
          <w:bCs/>
          <w:lang w:val="el-GR"/>
        </w:rPr>
        <w:footnoteReference w:id="120"/>
      </w:r>
      <w:r w:rsidR="00026928">
        <w:rPr>
          <w:rFonts w:ascii="Cambria" w:hAnsi="Cambria"/>
          <w:bCs/>
          <w:lang w:val="el-GR"/>
        </w:rPr>
        <w:t xml:space="preserve">  A second point worth considering, though, is that if reproduction and procreation is </w:t>
      </w:r>
      <w:r w:rsidR="00866148">
        <w:rPr>
          <w:rFonts w:ascii="Cambria" w:hAnsi="Cambria"/>
          <w:bCs/>
          <w:lang w:val="el-GR"/>
        </w:rPr>
        <w:t>a</w:t>
      </w:r>
      <w:r w:rsidR="00026928">
        <w:rPr>
          <w:rFonts w:ascii="Cambria" w:hAnsi="Cambria"/>
          <w:bCs/>
          <w:lang w:val="el-GR"/>
        </w:rPr>
        <w:t xml:space="preserve"> </w:t>
      </w:r>
      <w:r w:rsidR="00866148">
        <w:rPr>
          <w:rFonts w:ascii="Cambria" w:hAnsi="Cambria"/>
          <w:bCs/>
          <w:lang w:val="el-GR"/>
        </w:rPr>
        <w:t>component</w:t>
      </w:r>
      <w:r w:rsidR="00026928">
        <w:rPr>
          <w:rFonts w:ascii="Cambria" w:hAnsi="Cambria"/>
          <w:bCs/>
          <w:lang w:val="el-GR"/>
        </w:rPr>
        <w:t xml:space="preserve"> </w:t>
      </w:r>
      <w:r w:rsidR="00866148">
        <w:rPr>
          <w:rFonts w:ascii="Cambria" w:hAnsi="Cambria"/>
          <w:bCs/>
          <w:lang w:val="el-GR"/>
        </w:rPr>
        <w:t>of</w:t>
      </w:r>
      <w:r w:rsidR="00026928">
        <w:rPr>
          <w:rFonts w:ascii="Cambria" w:hAnsi="Cambria"/>
          <w:bCs/>
          <w:lang w:val="el-GR"/>
        </w:rPr>
        <w:t xml:space="preserve"> Genesis’ depiction of the image of God, then it may be that one of Christ’s tasks is to extend his royal dominion over his people. </w:t>
      </w:r>
    </w:p>
    <w:p w14:paraId="2E67029C" w14:textId="15CB1DDF" w:rsidR="006F6C00" w:rsidRPr="006C6E9A" w:rsidRDefault="006F6C00" w:rsidP="006F6C00">
      <w:pPr>
        <w:pStyle w:val="ListParagraph"/>
        <w:numPr>
          <w:ilvl w:val="0"/>
          <w:numId w:val="1"/>
        </w:numPr>
        <w:spacing w:line="480" w:lineRule="auto"/>
        <w:jc w:val="center"/>
        <w:rPr>
          <w:bCs/>
          <w:i/>
          <w:u w:val="single"/>
        </w:rPr>
      </w:pPr>
      <w:r w:rsidRPr="006C6E9A">
        <w:rPr>
          <w:bCs/>
          <w:i/>
          <w:u w:val="single"/>
        </w:rPr>
        <w:t xml:space="preserve">Christ the </w:t>
      </w:r>
      <w:r w:rsidR="009B3F32" w:rsidRPr="006C6E9A">
        <w:rPr>
          <w:bCs/>
          <w:i/>
          <w:u w:val="single"/>
        </w:rPr>
        <w:t xml:space="preserve">Supreme </w:t>
      </w:r>
      <w:r w:rsidRPr="006C6E9A">
        <w:rPr>
          <w:bCs/>
          <w:i/>
          <w:u w:val="single"/>
        </w:rPr>
        <w:t xml:space="preserve">King Creates </w:t>
      </w:r>
      <w:r w:rsidR="00886C63" w:rsidRPr="006C6E9A">
        <w:rPr>
          <w:bCs/>
          <w:i/>
          <w:u w:val="single"/>
        </w:rPr>
        <w:t>and Rules</w:t>
      </w:r>
    </w:p>
    <w:p w14:paraId="6FC4A8F4" w14:textId="731A717B" w:rsidR="00C85730" w:rsidRPr="00C85730" w:rsidRDefault="00C85730" w:rsidP="00C85730">
      <w:pPr>
        <w:spacing w:line="480" w:lineRule="auto"/>
        <w:jc w:val="center"/>
        <w:rPr>
          <w:bCs/>
          <w:i/>
        </w:rPr>
      </w:pPr>
      <w:r w:rsidRPr="00C85730">
        <w:rPr>
          <w:bCs/>
          <w:i/>
        </w:rPr>
        <w:t>“</w:t>
      </w:r>
      <w:r w:rsidR="00A9768B">
        <w:rPr>
          <w:bCs/>
          <w:i/>
        </w:rPr>
        <w:t>t</w:t>
      </w:r>
      <w:r w:rsidRPr="00C85730">
        <w:rPr>
          <w:bCs/>
          <w:i/>
        </w:rPr>
        <w:t>he firstborn over all creation” (1:15b)</w:t>
      </w:r>
    </w:p>
    <w:p w14:paraId="2D952A0C" w14:textId="25DB14ED" w:rsidR="00FB23BB" w:rsidRDefault="00731589" w:rsidP="00EB6637">
      <w:pPr>
        <w:spacing w:line="480" w:lineRule="auto"/>
        <w:jc w:val="both"/>
        <w:rPr>
          <w:bCs/>
        </w:rPr>
      </w:pPr>
      <w:r>
        <w:rPr>
          <w:bCs/>
        </w:rPr>
        <w:t>To that of “</w:t>
      </w:r>
      <w:r w:rsidR="00985331">
        <w:rPr>
          <w:bCs/>
        </w:rPr>
        <w:t>his beloved son</w:t>
      </w:r>
      <w:r>
        <w:rPr>
          <w:bCs/>
        </w:rPr>
        <w:t>” and “</w:t>
      </w:r>
      <w:r w:rsidR="007C0D31">
        <w:rPr>
          <w:bCs/>
        </w:rPr>
        <w:t xml:space="preserve">the </w:t>
      </w:r>
      <w:r>
        <w:rPr>
          <w:bCs/>
        </w:rPr>
        <w:t xml:space="preserve">image of the invisible God” </w:t>
      </w:r>
      <w:r w:rsidR="007C0D31">
        <w:rPr>
          <w:bCs/>
        </w:rPr>
        <w:t>Paul adds</w:t>
      </w:r>
      <w:r>
        <w:rPr>
          <w:bCs/>
        </w:rPr>
        <w:t xml:space="preserve"> a third royal honorific:</w:t>
      </w:r>
      <w:r w:rsidR="00FF24EC">
        <w:rPr>
          <w:bCs/>
        </w:rPr>
        <w:t xml:space="preserve"> he is</w:t>
      </w:r>
      <w:r>
        <w:rPr>
          <w:bCs/>
        </w:rPr>
        <w:t xml:space="preserve"> “the firstborn over all creation” (</w:t>
      </w:r>
      <w:r>
        <w:rPr>
          <w:rFonts w:ascii="Gentium Plus" w:hAnsi="Gentium Plus"/>
          <w:bCs/>
          <w:lang w:val="el-GR"/>
        </w:rPr>
        <w:t>πρωτότοκος πάσης κτίσεως</w:t>
      </w:r>
      <w:r>
        <w:rPr>
          <w:bCs/>
        </w:rPr>
        <w:t>, 1:15b).</w:t>
      </w:r>
      <w:r w:rsidR="007C0D31">
        <w:rPr>
          <w:rStyle w:val="FootnoteReference"/>
          <w:bCs/>
        </w:rPr>
        <w:footnoteReference w:id="121"/>
      </w:r>
      <w:r w:rsidR="00FF24EC">
        <w:rPr>
          <w:bCs/>
        </w:rPr>
        <w:t xml:space="preserve"> </w:t>
      </w:r>
      <w:r>
        <w:rPr>
          <w:bCs/>
        </w:rPr>
        <w:t xml:space="preserve"> </w:t>
      </w:r>
      <w:r w:rsidR="002111D2">
        <w:rPr>
          <w:bCs/>
        </w:rPr>
        <w:t>In Israel the firstborn son held a special place within the family as he was endowed with the father’s inheritance</w:t>
      </w:r>
      <w:r w:rsidR="00FB23BB">
        <w:rPr>
          <w:bCs/>
        </w:rPr>
        <w:t>,</w:t>
      </w:r>
      <w:r w:rsidR="002111D2">
        <w:rPr>
          <w:bCs/>
        </w:rPr>
        <w:t xml:space="preserve"> entrusted with his father’s authority, and given a royal and priestly role within the family</w:t>
      </w:r>
      <w:r w:rsidR="00A25C2C">
        <w:rPr>
          <w:bCs/>
        </w:rPr>
        <w:t>.</w:t>
      </w:r>
      <w:r w:rsidR="00A25C2C">
        <w:rPr>
          <w:rStyle w:val="FootnoteReference"/>
          <w:bCs/>
        </w:rPr>
        <w:footnoteReference w:id="122"/>
      </w:r>
      <w:r w:rsidR="00A25C2C">
        <w:rPr>
          <w:bCs/>
        </w:rPr>
        <w:t xml:space="preserve"> </w:t>
      </w:r>
      <w:r w:rsidR="008D615E">
        <w:rPr>
          <w:bCs/>
        </w:rPr>
        <w:t xml:space="preserve"> </w:t>
      </w:r>
      <w:r w:rsidR="002111D2">
        <w:rPr>
          <w:bCs/>
        </w:rPr>
        <w:t>Jacob declares to Reuben: “you are my firstborn, my</w:t>
      </w:r>
      <w:r w:rsidR="008D615E">
        <w:rPr>
          <w:bCs/>
        </w:rPr>
        <w:t xml:space="preserve"> strength and</w:t>
      </w:r>
      <w:r w:rsidR="00FF24EC">
        <w:rPr>
          <w:bCs/>
        </w:rPr>
        <w:t xml:space="preserve"> the</w:t>
      </w:r>
      <w:r w:rsidR="008D615E">
        <w:rPr>
          <w:bCs/>
        </w:rPr>
        <w:t xml:space="preserve"> </w:t>
      </w:r>
      <w:r w:rsidR="005576DD">
        <w:rPr>
          <w:bCs/>
          <w:i/>
          <w:iCs/>
        </w:rPr>
        <w:t>beginning</w:t>
      </w:r>
      <w:r w:rsidR="005576DD">
        <w:rPr>
          <w:bCs/>
        </w:rPr>
        <w:t xml:space="preserve"> of</w:t>
      </w:r>
      <w:r w:rsidR="008D615E">
        <w:rPr>
          <w:bCs/>
        </w:rPr>
        <w:t xml:space="preserve"> my children” (</w:t>
      </w:r>
      <w:r w:rsidR="008D615E" w:rsidRPr="00476D3F">
        <w:rPr>
          <w:rFonts w:ascii="Gentium Plus" w:hAnsi="Gentium Plus"/>
          <w:bCs/>
          <w:lang w:val="el-GR"/>
        </w:rPr>
        <w:t>πρωτότοκος μου σύ ίσχύς καὶ ἀ</w:t>
      </w:r>
      <w:r w:rsidR="005576DD">
        <w:rPr>
          <w:rFonts w:ascii="Gentium Plus" w:hAnsi="Gentium Plus"/>
          <w:bCs/>
          <w:lang w:val="el-GR"/>
        </w:rPr>
        <w:t>ρχή</w:t>
      </w:r>
      <w:r w:rsidR="008D615E" w:rsidRPr="00476D3F">
        <w:rPr>
          <w:rFonts w:ascii="Gentium Plus" w:hAnsi="Gentium Plus"/>
          <w:bCs/>
          <w:lang w:val="el-GR"/>
        </w:rPr>
        <w:t xml:space="preserve"> τέκνων μου</w:t>
      </w:r>
      <w:r w:rsidR="008D615E">
        <w:rPr>
          <w:bCs/>
        </w:rPr>
        <w:t>, LXX Gen. 49:3).</w:t>
      </w:r>
      <w:r w:rsidR="008D615E">
        <w:rPr>
          <w:rStyle w:val="FootnoteReference"/>
          <w:bCs/>
        </w:rPr>
        <w:footnoteReference w:id="123"/>
      </w:r>
      <w:r w:rsidR="000A3B57">
        <w:rPr>
          <w:bCs/>
        </w:rPr>
        <w:t xml:space="preserve"> The Deuteronomist’s statute protecting the inheritance of the firstborn, likewise, refers to him as </w:t>
      </w:r>
      <w:r w:rsidR="005576DD">
        <w:rPr>
          <w:bCs/>
          <w:i/>
          <w:iCs/>
        </w:rPr>
        <w:t>beginning</w:t>
      </w:r>
      <w:r w:rsidR="005576DD">
        <w:rPr>
          <w:bCs/>
        </w:rPr>
        <w:t xml:space="preserve"> of</w:t>
      </w:r>
      <w:r w:rsidR="000A3B57">
        <w:rPr>
          <w:bCs/>
        </w:rPr>
        <w:t xml:space="preserve"> his father’s children (</w:t>
      </w:r>
      <w:r w:rsidR="000A3B57">
        <w:rPr>
          <w:rFonts w:ascii="Gentium Plus" w:hAnsi="Gentium Plus"/>
          <w:bCs/>
          <w:lang w:val="el-GR"/>
        </w:rPr>
        <w:t>οὗτός ἐστιν ἀρχὴ τέκνων αὐτοῦ</w:t>
      </w:r>
      <w:r w:rsidR="000A3B57">
        <w:rPr>
          <w:bCs/>
        </w:rPr>
        <w:t>, Deut. 21:17b).</w:t>
      </w:r>
      <w:r w:rsidR="000A3B57">
        <w:rPr>
          <w:rStyle w:val="FootnoteReference"/>
          <w:bCs/>
        </w:rPr>
        <w:footnoteReference w:id="124"/>
      </w:r>
      <w:r w:rsidR="00476D3F">
        <w:rPr>
          <w:bCs/>
        </w:rPr>
        <w:t xml:space="preserve"> </w:t>
      </w:r>
      <w:r w:rsidR="008D615E">
        <w:rPr>
          <w:bCs/>
        </w:rPr>
        <w:t xml:space="preserve">Given its associations with </w:t>
      </w:r>
      <w:r w:rsidR="00EB6637">
        <w:rPr>
          <w:bCs/>
        </w:rPr>
        <w:t>representation</w:t>
      </w:r>
      <w:r w:rsidR="008D615E">
        <w:rPr>
          <w:bCs/>
        </w:rPr>
        <w:t xml:space="preserve"> of one’s father, royal privilege, </w:t>
      </w:r>
      <w:r w:rsidR="00EB6637">
        <w:rPr>
          <w:bCs/>
        </w:rPr>
        <w:t xml:space="preserve">and inheritance, </w:t>
      </w:r>
      <w:r w:rsidR="00EB6637">
        <w:rPr>
          <w:bCs/>
          <w:lang w:val="el-GR"/>
        </w:rPr>
        <w:t>πρωτότοκος</w:t>
      </w:r>
      <w:r w:rsidR="00476D3F">
        <w:rPr>
          <w:bCs/>
        </w:rPr>
        <w:t xml:space="preserve"> is often </w:t>
      </w:r>
      <w:r w:rsidR="00EB6637">
        <w:rPr>
          <w:bCs/>
        </w:rPr>
        <w:t>used as more than a literal description of birth order and rather as an honorific as it is, for example, with Israel (Ex. 4:22; Jer. 38:9).</w:t>
      </w:r>
      <w:r w:rsidR="000B73FA">
        <w:rPr>
          <w:rStyle w:val="FootnoteReference"/>
          <w:bCs/>
        </w:rPr>
        <w:footnoteReference w:id="125"/>
      </w:r>
      <w:r w:rsidR="005576DD">
        <w:rPr>
          <w:bCs/>
        </w:rPr>
        <w:t xml:space="preserve"> </w:t>
      </w:r>
    </w:p>
    <w:p w14:paraId="640020A0" w14:textId="2255D469" w:rsidR="00712D4B" w:rsidRDefault="00EB6637" w:rsidP="00FB23BB">
      <w:pPr>
        <w:spacing w:line="480" w:lineRule="auto"/>
        <w:ind w:firstLine="720"/>
        <w:jc w:val="both"/>
        <w:rPr>
          <w:bCs/>
        </w:rPr>
      </w:pPr>
      <w:r>
        <w:rPr>
          <w:bCs/>
        </w:rPr>
        <w:t>But of most importance for understanding Paul’s description of Christ as “firstborn over all creation” is the Psalmist who refers to God’s covenant with David: “I will make him the firstborn, the highest of the kings of the earth” (</w:t>
      </w:r>
      <w:r w:rsidR="00CF1BFC">
        <w:rPr>
          <w:rFonts w:ascii="Gentium Plus" w:hAnsi="Gentium Plus"/>
          <w:bCs/>
          <w:lang w:val="el-GR"/>
        </w:rPr>
        <w:t>κἀγὼ πρωτότοκον θήσομαι αὐτόν, ὑψηλὸν παρὰ τοῖς βασιλεῦσιν τῆς γῆς</w:t>
      </w:r>
      <w:r w:rsidR="00CF1BFC">
        <w:rPr>
          <w:bCs/>
        </w:rPr>
        <w:t xml:space="preserve">, </w:t>
      </w:r>
      <w:r>
        <w:rPr>
          <w:bCs/>
        </w:rPr>
        <w:t>LXX Ps. 88:</w:t>
      </w:r>
      <w:r w:rsidR="00CF1BFC">
        <w:rPr>
          <w:bCs/>
        </w:rPr>
        <w:t xml:space="preserve">28). That this royal psalm </w:t>
      </w:r>
      <w:r w:rsidR="00CF1BFC" w:rsidRPr="00476D3F">
        <w:rPr>
          <w:bCs/>
          <w:i/>
        </w:rPr>
        <w:t>is the</w:t>
      </w:r>
      <w:r w:rsidR="00C66073">
        <w:rPr>
          <w:bCs/>
          <w:i/>
        </w:rPr>
        <w:t xml:space="preserve"> primary</w:t>
      </w:r>
      <w:r w:rsidR="00CF1BFC" w:rsidRPr="00476D3F">
        <w:rPr>
          <w:bCs/>
          <w:i/>
        </w:rPr>
        <w:t xml:space="preserve"> context</w:t>
      </w:r>
      <w:r w:rsidR="00CF1BFC">
        <w:rPr>
          <w:bCs/>
        </w:rPr>
        <w:t xml:space="preserve"> for Paul’s sta</w:t>
      </w:r>
      <w:r w:rsidR="00FB23BB">
        <w:rPr>
          <w:bCs/>
        </w:rPr>
        <w:t xml:space="preserve">tement is confirmed by </w:t>
      </w:r>
      <w:r w:rsidR="00CF1BFC">
        <w:rPr>
          <w:bCs/>
        </w:rPr>
        <w:t xml:space="preserve">the </w:t>
      </w:r>
      <w:r w:rsidR="00476D3F">
        <w:rPr>
          <w:bCs/>
        </w:rPr>
        <w:t xml:space="preserve">psalm’s </w:t>
      </w:r>
      <w:r w:rsidR="00CF1BFC">
        <w:rPr>
          <w:bCs/>
        </w:rPr>
        <w:t xml:space="preserve">preceding verse </w:t>
      </w:r>
      <w:r w:rsidR="00FB23BB">
        <w:rPr>
          <w:bCs/>
        </w:rPr>
        <w:t xml:space="preserve">which </w:t>
      </w:r>
      <w:r w:rsidR="00CF1BFC">
        <w:rPr>
          <w:bCs/>
        </w:rPr>
        <w:t>refers to the relationship between God and</w:t>
      </w:r>
      <w:r w:rsidR="00FB23BB">
        <w:rPr>
          <w:bCs/>
        </w:rPr>
        <w:t xml:space="preserve"> the</w:t>
      </w:r>
      <w:r w:rsidR="00CF1BFC">
        <w:rPr>
          <w:bCs/>
        </w:rPr>
        <w:t xml:space="preserve"> king as </w:t>
      </w:r>
      <w:r w:rsidR="00FB23BB">
        <w:rPr>
          <w:bCs/>
        </w:rPr>
        <w:t xml:space="preserve">that of </w:t>
      </w:r>
      <w:r w:rsidR="00CF1BFC">
        <w:rPr>
          <w:bCs/>
        </w:rPr>
        <w:t>Father and son: “He will cry to me, ‘You are my Father</w:t>
      </w:r>
      <w:r w:rsidR="00B37366">
        <w:rPr>
          <w:bCs/>
        </w:rPr>
        <w:t xml:space="preserve"> (</w:t>
      </w:r>
      <w:r w:rsidR="00B37366">
        <w:rPr>
          <w:rFonts w:ascii="Gentium Plus" w:hAnsi="Gentium Plus"/>
          <w:bCs/>
          <w:lang w:val="el-GR"/>
        </w:rPr>
        <w:t>αὐτὸς ἐπικαλέσεταί με Πατήρ μου εἶ σύ</w:t>
      </w:r>
      <w:r w:rsidR="00B37366">
        <w:rPr>
          <w:bCs/>
        </w:rPr>
        <w:t>)</w:t>
      </w:r>
      <w:r w:rsidR="00CF1BFC">
        <w:rPr>
          <w:bCs/>
        </w:rPr>
        <w:t>, my God, and the Rock of my salvation!’” (Ps. 88:27</w:t>
      </w:r>
      <w:r w:rsidR="00B37366">
        <w:rPr>
          <w:bCs/>
        </w:rPr>
        <w:t>; cf. Col. 1:13b</w:t>
      </w:r>
      <w:r w:rsidR="00CF1BFC">
        <w:rPr>
          <w:bCs/>
        </w:rPr>
        <w:t>).</w:t>
      </w:r>
      <w:r w:rsidR="001B72E4">
        <w:rPr>
          <w:rStyle w:val="FootnoteReference"/>
          <w:bCs/>
        </w:rPr>
        <w:footnoteReference w:id="126"/>
      </w:r>
      <w:r w:rsidR="001B72E4">
        <w:rPr>
          <w:bCs/>
        </w:rPr>
        <w:t xml:space="preserve"> </w:t>
      </w:r>
      <w:r w:rsidR="00B37366">
        <w:rPr>
          <w:bCs/>
        </w:rPr>
        <w:t xml:space="preserve"> We have seen that as the most exalted of the kings of the earth, as God’s own firstborn son</w:t>
      </w:r>
      <w:r w:rsidR="0027179E">
        <w:rPr>
          <w:bCs/>
        </w:rPr>
        <w:t>, the Davidic ruler is given the gift of sharing in God’s cosmic rule over all of creation.</w:t>
      </w:r>
      <w:r w:rsidR="00F570F3">
        <w:rPr>
          <w:bCs/>
        </w:rPr>
        <w:t xml:space="preserve">  </w:t>
      </w:r>
      <w:r w:rsidR="00476D3F">
        <w:rPr>
          <w:bCs/>
        </w:rPr>
        <w:t>The Father’s</w:t>
      </w:r>
      <w:r w:rsidR="002F677D">
        <w:rPr>
          <w:bCs/>
        </w:rPr>
        <w:t xml:space="preserve"> throne </w:t>
      </w:r>
      <w:r w:rsidR="00F570F3">
        <w:rPr>
          <w:bCs/>
        </w:rPr>
        <w:t>and the king</w:t>
      </w:r>
      <w:r w:rsidR="002F677D">
        <w:rPr>
          <w:bCs/>
        </w:rPr>
        <w:t>’s throne</w:t>
      </w:r>
      <w:r w:rsidR="00F570F3">
        <w:rPr>
          <w:bCs/>
        </w:rPr>
        <w:t xml:space="preserve"> are </w:t>
      </w:r>
      <w:r w:rsidR="00F570F3" w:rsidRPr="00F570F3">
        <w:rPr>
          <w:bCs/>
          <w:i/>
          <w:iCs/>
        </w:rPr>
        <w:t>both</w:t>
      </w:r>
      <w:r w:rsidR="00F570F3">
        <w:rPr>
          <w:bCs/>
        </w:rPr>
        <w:t xml:space="preserve"> founded upon God’s steadfast love (88:15 and vv. 29-30</w:t>
      </w:r>
      <w:r w:rsidR="00A25C2C">
        <w:rPr>
          <w:bCs/>
        </w:rPr>
        <w:t>; cf. 44:5-7</w:t>
      </w:r>
      <w:r w:rsidR="00F570F3">
        <w:rPr>
          <w:bCs/>
        </w:rPr>
        <w:t>).</w:t>
      </w:r>
      <w:r w:rsidR="0027179E">
        <w:rPr>
          <w:bCs/>
        </w:rPr>
        <w:t xml:space="preserve">  </w:t>
      </w:r>
      <w:r w:rsidR="00476D3F">
        <w:rPr>
          <w:bCs/>
        </w:rPr>
        <w:t>The Father</w:t>
      </w:r>
      <w:r w:rsidR="0027179E">
        <w:rPr>
          <w:bCs/>
        </w:rPr>
        <w:t xml:space="preserve"> thus sets the king’s “hand on the sea, and his right hand on the </w:t>
      </w:r>
      <w:r w:rsidR="00F570F3">
        <w:rPr>
          <w:bCs/>
        </w:rPr>
        <w:t xml:space="preserve">rivers” (Ps. 88:24; cf. </w:t>
      </w:r>
      <w:r w:rsidR="0027179E">
        <w:rPr>
          <w:bCs/>
        </w:rPr>
        <w:t>vv. 10-12).</w:t>
      </w:r>
      <w:r w:rsidR="00F570F3">
        <w:rPr>
          <w:rStyle w:val="FootnoteReference"/>
          <w:bCs/>
        </w:rPr>
        <w:footnoteReference w:id="127"/>
      </w:r>
      <w:r w:rsidR="00476D3F">
        <w:rPr>
          <w:bCs/>
        </w:rPr>
        <w:t xml:space="preserve">  </w:t>
      </w:r>
      <w:r w:rsidR="005576DD">
        <w:rPr>
          <w:bCs/>
        </w:rPr>
        <w:t>And as the most exalted of the ki</w:t>
      </w:r>
      <w:r w:rsidR="00A25C2C">
        <w:rPr>
          <w:bCs/>
        </w:rPr>
        <w:t>ngs of the earth</w:t>
      </w:r>
      <w:r w:rsidR="005576DD">
        <w:rPr>
          <w:bCs/>
        </w:rPr>
        <w:t>, Yahweh promises to d</w:t>
      </w:r>
      <w:r w:rsidR="00A25C2C">
        <w:rPr>
          <w:bCs/>
        </w:rPr>
        <w:t>efeat the enemies of the king (</w:t>
      </w:r>
      <w:r w:rsidR="00A25C2C">
        <w:rPr>
          <w:rFonts w:ascii="Gentium Plus" w:hAnsi="Gentium Plus"/>
          <w:bCs/>
          <w:lang w:val="el-GR"/>
        </w:rPr>
        <w:t>ὡφελήσει ἐχθρὸς ἐν αὐτῷ</w:t>
      </w:r>
      <w:r w:rsidR="005576DD">
        <w:rPr>
          <w:bCs/>
        </w:rPr>
        <w:t>, LXX Ps. 88:2</w:t>
      </w:r>
      <w:r w:rsidR="00A25C2C">
        <w:rPr>
          <w:bCs/>
        </w:rPr>
        <w:t xml:space="preserve">3a; </w:t>
      </w:r>
      <w:r w:rsidR="00A25C2C">
        <w:rPr>
          <w:rFonts w:ascii="Gentium Plus" w:hAnsi="Gentium Plus"/>
          <w:bCs/>
          <w:lang w:val="el-GR"/>
        </w:rPr>
        <w:t>συγκόψω τοὺς ἐχθροὺς αὐτόν</w:t>
      </w:r>
      <w:r w:rsidR="00A25C2C">
        <w:rPr>
          <w:bCs/>
        </w:rPr>
        <w:t>, 88:24a; cf. Ps. 2:1-8).</w:t>
      </w:r>
      <w:r w:rsidR="00C66073">
        <w:rPr>
          <w:bCs/>
        </w:rPr>
        <w:t xml:space="preserve">  </w:t>
      </w:r>
    </w:p>
    <w:p w14:paraId="174920A8" w14:textId="591C2BD8" w:rsidR="00C85730" w:rsidRDefault="00C85730" w:rsidP="0098798C">
      <w:pPr>
        <w:ind w:firstLine="720"/>
        <w:jc w:val="center"/>
        <w:rPr>
          <w:bCs/>
          <w:i/>
        </w:rPr>
      </w:pPr>
      <w:r w:rsidRPr="00C85730">
        <w:rPr>
          <w:bCs/>
          <w:i/>
        </w:rPr>
        <w:t>“</w:t>
      </w:r>
      <w:r>
        <w:rPr>
          <w:bCs/>
          <w:i/>
        </w:rPr>
        <w:t>F</w:t>
      </w:r>
      <w:r w:rsidRPr="00C85730">
        <w:rPr>
          <w:bCs/>
          <w:i/>
        </w:rPr>
        <w:t xml:space="preserve">or in him all things were created, things in heaven and on earth, things visible and invisible, whether thrones or lords, or rulers, or dominions; all things have been created </w:t>
      </w:r>
      <w:r w:rsidR="00C31943">
        <w:rPr>
          <w:bCs/>
          <w:i/>
        </w:rPr>
        <w:t>through him and for him” (1:16)</w:t>
      </w:r>
    </w:p>
    <w:p w14:paraId="11CEE0C3" w14:textId="77777777" w:rsidR="0098798C" w:rsidRDefault="0098798C" w:rsidP="00EB6637">
      <w:pPr>
        <w:spacing w:line="480" w:lineRule="auto"/>
        <w:jc w:val="both"/>
        <w:rPr>
          <w:bCs/>
        </w:rPr>
      </w:pPr>
    </w:p>
    <w:p w14:paraId="3298332F" w14:textId="1A113027" w:rsidR="00312A12" w:rsidRDefault="0027179E" w:rsidP="00EB6637">
      <w:pPr>
        <w:spacing w:line="480" w:lineRule="auto"/>
        <w:jc w:val="both"/>
        <w:rPr>
          <w:bCs/>
        </w:rPr>
      </w:pPr>
      <w:r>
        <w:rPr>
          <w:bCs/>
        </w:rPr>
        <w:t>Paul radicalizes the royal-messianic i</w:t>
      </w:r>
      <w:r w:rsidR="003D32C8">
        <w:rPr>
          <w:bCs/>
        </w:rPr>
        <w:t xml:space="preserve">deology by extending Christ’s </w:t>
      </w:r>
      <w:r>
        <w:rPr>
          <w:bCs/>
        </w:rPr>
        <w:t>dominion over creation into an assertion that the f</w:t>
      </w:r>
      <w:r w:rsidR="002F677D">
        <w:rPr>
          <w:bCs/>
        </w:rPr>
        <w:t>irstbor</w:t>
      </w:r>
      <w:r w:rsidR="003D32C8">
        <w:rPr>
          <w:bCs/>
        </w:rPr>
        <w:t xml:space="preserve">n son actually is the one </w:t>
      </w:r>
      <w:r>
        <w:rPr>
          <w:bCs/>
        </w:rPr>
        <w:t>“in whom all things have been created” (</w:t>
      </w:r>
      <w:r>
        <w:rPr>
          <w:rFonts w:ascii="Gentium Plus" w:hAnsi="Gentium Plus"/>
          <w:bCs/>
          <w:lang w:val="el-GR"/>
        </w:rPr>
        <w:t>ἐν αὐτῷ ἐκτίσθη τὰ πάντα</w:t>
      </w:r>
      <w:r>
        <w:rPr>
          <w:bCs/>
        </w:rPr>
        <w:t>, 1:16a)</w:t>
      </w:r>
      <w:r w:rsidR="00C66073">
        <w:rPr>
          <w:bCs/>
        </w:rPr>
        <w:t>,</w:t>
      </w:r>
      <w:r>
        <w:rPr>
          <w:bCs/>
        </w:rPr>
        <w:t xml:space="preserve"> and</w:t>
      </w:r>
      <w:r w:rsidR="00E80A7D">
        <w:rPr>
          <w:bCs/>
        </w:rPr>
        <w:t xml:space="preserve"> </w:t>
      </w:r>
      <w:r w:rsidR="00EE63DD">
        <w:rPr>
          <w:bCs/>
        </w:rPr>
        <w:t xml:space="preserve">the one “through whom and for whom </w:t>
      </w:r>
      <w:r>
        <w:rPr>
          <w:bCs/>
        </w:rPr>
        <w:t xml:space="preserve">all things have </w:t>
      </w:r>
      <w:r w:rsidR="00EE63DD">
        <w:rPr>
          <w:bCs/>
        </w:rPr>
        <w:t>been created</w:t>
      </w:r>
      <w:r>
        <w:rPr>
          <w:bCs/>
        </w:rPr>
        <w:t>” (</w:t>
      </w:r>
      <w:r>
        <w:rPr>
          <w:rFonts w:ascii="Gentium Plus" w:hAnsi="Gentium Plus"/>
          <w:bCs/>
          <w:lang w:val="el-GR"/>
        </w:rPr>
        <w:t>τὰ πάντα δι᾽ αὐτοῦ</w:t>
      </w:r>
      <w:r w:rsidR="00E80A7D">
        <w:rPr>
          <w:rFonts w:ascii="Gentium Plus" w:hAnsi="Gentium Plus"/>
          <w:bCs/>
          <w:lang w:val="el-GR"/>
        </w:rPr>
        <w:t xml:space="preserve"> καὶ εἰς αὐτὸν ἔκτισται</w:t>
      </w:r>
      <w:r>
        <w:rPr>
          <w:rFonts w:ascii="Cambria" w:hAnsi="Cambria"/>
          <w:bCs/>
        </w:rPr>
        <w:t xml:space="preserve">, </w:t>
      </w:r>
      <w:r>
        <w:rPr>
          <w:bCs/>
        </w:rPr>
        <w:t>1:16c).</w:t>
      </w:r>
      <w:r w:rsidR="0099552D">
        <w:rPr>
          <w:rStyle w:val="FootnoteReference"/>
          <w:bCs/>
        </w:rPr>
        <w:footnoteReference w:id="128"/>
      </w:r>
      <w:r w:rsidR="00E80A7D">
        <w:rPr>
          <w:bCs/>
        </w:rPr>
        <w:t xml:space="preserve"> </w:t>
      </w:r>
      <w:r w:rsidR="00476D3F">
        <w:rPr>
          <w:bCs/>
        </w:rPr>
        <w:t xml:space="preserve">That is, as the most “exalted of all the kings of the earth” (Ps. 88:28), God’s royal son </w:t>
      </w:r>
      <w:r w:rsidR="00476D3F" w:rsidRPr="001260B8">
        <w:rPr>
          <w:bCs/>
          <w:i/>
        </w:rPr>
        <w:t>not only rules but even creates the lesser</w:t>
      </w:r>
      <w:r w:rsidR="001260B8" w:rsidRPr="001260B8">
        <w:rPr>
          <w:bCs/>
          <w:i/>
        </w:rPr>
        <w:t xml:space="preserve"> rulers</w:t>
      </w:r>
      <w:r w:rsidR="001260B8">
        <w:rPr>
          <w:bCs/>
        </w:rPr>
        <w:t>, that is, the</w:t>
      </w:r>
      <w:r w:rsidR="00476D3F">
        <w:rPr>
          <w:bCs/>
        </w:rPr>
        <w:t xml:space="preserve"> “thrones and lords and rulers and dominions” (</w:t>
      </w:r>
      <w:r w:rsidR="00EB315A">
        <w:rPr>
          <w:rFonts w:ascii="Gentium Plus" w:hAnsi="Gentium Plus"/>
          <w:bCs/>
          <w:lang w:val="el-GR"/>
        </w:rPr>
        <w:t>εἴτε θρόνοι εἴτε κυριότητες εἴτε ἀρχαὶ εἴτε ἐξουσίαι</w:t>
      </w:r>
      <w:r w:rsidR="001260B8">
        <w:rPr>
          <w:bCs/>
        </w:rPr>
        <w:t xml:space="preserve">, </w:t>
      </w:r>
      <w:r w:rsidR="00476D3F">
        <w:rPr>
          <w:bCs/>
        </w:rPr>
        <w:t>Col. 1:16).</w:t>
      </w:r>
      <w:r w:rsidR="00476D3F">
        <w:rPr>
          <w:rStyle w:val="FootnoteReference"/>
          <w:bCs/>
        </w:rPr>
        <w:footnoteReference w:id="129"/>
      </w:r>
      <w:r w:rsidR="002F677D">
        <w:rPr>
          <w:bCs/>
        </w:rPr>
        <w:t xml:space="preserve"> </w:t>
      </w:r>
      <w:r w:rsidR="00DE7CFB">
        <w:rPr>
          <w:bCs/>
        </w:rPr>
        <w:t>Regardle</w:t>
      </w:r>
      <w:r w:rsidR="00755B0E">
        <w:rPr>
          <w:bCs/>
        </w:rPr>
        <w:t>ss of the exact identity of th</w:t>
      </w:r>
      <w:r w:rsidR="00DE7CFB">
        <w:rPr>
          <w:bCs/>
        </w:rPr>
        <w:t>e lesser rulers,</w:t>
      </w:r>
      <w:r w:rsidR="00312A12">
        <w:rPr>
          <w:rStyle w:val="FootnoteReference"/>
          <w:bCs/>
        </w:rPr>
        <w:footnoteReference w:id="130"/>
      </w:r>
      <w:r w:rsidR="00DE7CFB">
        <w:rPr>
          <w:bCs/>
        </w:rPr>
        <w:t xml:space="preserve"> the language used to describe them is political (cf. Eph. 1:21).</w:t>
      </w:r>
      <w:r w:rsidR="00DE7CFB">
        <w:rPr>
          <w:rStyle w:val="FootnoteReference"/>
          <w:bCs/>
        </w:rPr>
        <w:footnoteReference w:id="131"/>
      </w:r>
      <w:r w:rsidR="00A86BE7">
        <w:rPr>
          <w:bCs/>
        </w:rPr>
        <w:t xml:space="preserve"> </w:t>
      </w:r>
      <w:r w:rsidR="00312A12">
        <w:rPr>
          <w:bCs/>
        </w:rPr>
        <w:t xml:space="preserve">That Christ’s creative activity derives from his royal rule is </w:t>
      </w:r>
      <w:r w:rsidR="00755B0E">
        <w:rPr>
          <w:bCs/>
        </w:rPr>
        <w:t>again</w:t>
      </w:r>
      <w:r w:rsidR="00312A12">
        <w:rPr>
          <w:bCs/>
        </w:rPr>
        <w:t xml:space="preserve"> </w:t>
      </w:r>
      <w:r w:rsidR="00755B0E">
        <w:rPr>
          <w:bCs/>
        </w:rPr>
        <w:t>seen</w:t>
      </w:r>
      <w:r w:rsidR="00312A12">
        <w:rPr>
          <w:bCs/>
        </w:rPr>
        <w:t xml:space="preserve"> by</w:t>
      </w:r>
      <w:r w:rsidR="003871A1">
        <w:rPr>
          <w:bCs/>
        </w:rPr>
        <w:t xml:space="preserve"> the fact that the</w:t>
      </w:r>
      <w:r w:rsidR="00A86BE7">
        <w:rPr>
          <w:bCs/>
        </w:rPr>
        <w:t xml:space="preserve"> </w:t>
      </w:r>
      <w:r w:rsidR="00A86BE7" w:rsidRPr="00755B0E">
        <w:rPr>
          <w:bCs/>
          <w:iCs/>
        </w:rPr>
        <w:t>lesser</w:t>
      </w:r>
      <w:r w:rsidR="00A86BE7">
        <w:rPr>
          <w:bCs/>
        </w:rPr>
        <w:t xml:space="preserve"> rulers</w:t>
      </w:r>
      <w:r w:rsidR="00F668A7">
        <w:rPr>
          <w:bCs/>
        </w:rPr>
        <w:t xml:space="preserve"> in 1:16</w:t>
      </w:r>
      <w:r w:rsidR="00A86BE7">
        <w:rPr>
          <w:bCs/>
        </w:rPr>
        <w:t xml:space="preserve"> are the same “rulers and authorities” (</w:t>
      </w:r>
      <w:r w:rsidR="00A86BE7">
        <w:rPr>
          <w:rFonts w:ascii="Gentium Plus" w:hAnsi="Gentium Plus"/>
          <w:bCs/>
          <w:lang w:val="el-GR"/>
        </w:rPr>
        <w:t>τὰς ἀρχὰς καὶ τὰς ἐξουσίας</w:t>
      </w:r>
      <w:r w:rsidR="00A86BE7">
        <w:rPr>
          <w:bCs/>
        </w:rPr>
        <w:t>) wh</w:t>
      </w:r>
      <w:r w:rsidR="003871A1">
        <w:rPr>
          <w:bCs/>
        </w:rPr>
        <w:t>o are publicly shamed</w:t>
      </w:r>
      <w:r w:rsidR="00C66073">
        <w:rPr>
          <w:bCs/>
        </w:rPr>
        <w:t xml:space="preserve"> </w:t>
      </w:r>
      <w:r w:rsidR="00DE7CFB">
        <w:rPr>
          <w:bCs/>
        </w:rPr>
        <w:t>and led in an</w:t>
      </w:r>
      <w:r w:rsidR="003871A1">
        <w:rPr>
          <w:bCs/>
        </w:rPr>
        <w:t xml:space="preserve"> imperial triumph in Christ (2:15b).</w:t>
      </w:r>
      <w:r w:rsidR="00962553">
        <w:rPr>
          <w:rStyle w:val="FootnoteReference"/>
          <w:bCs/>
        </w:rPr>
        <w:footnoteReference w:id="132"/>
      </w:r>
      <w:r w:rsidR="000823E3">
        <w:rPr>
          <w:bCs/>
        </w:rPr>
        <w:t xml:space="preserve"> </w:t>
      </w:r>
    </w:p>
    <w:p w14:paraId="52626062" w14:textId="67880638" w:rsidR="0027179E" w:rsidRDefault="00E80A7D" w:rsidP="00312A12">
      <w:pPr>
        <w:spacing w:line="480" w:lineRule="auto"/>
        <w:ind w:firstLine="720"/>
        <w:jc w:val="both"/>
        <w:rPr>
          <w:bCs/>
        </w:rPr>
      </w:pPr>
      <w:r>
        <w:rPr>
          <w:bCs/>
        </w:rPr>
        <w:t xml:space="preserve">We have seen that the relationship between God and his elected king results in some incredibly exalted language, such that the king shares God’s throne, is referred to as God or divine, and receives divine honors and acclamations. And if Ps. 88 (LXX) is the context for Col. 1:15b-16, then, Paul can be seen as making the claim that God’s anointed Son not only rules creation but has been given from his Father the </w:t>
      </w:r>
      <w:r w:rsidR="00EE63DD">
        <w:rPr>
          <w:bCs/>
        </w:rPr>
        <w:t>cosmic inheritance</w:t>
      </w:r>
      <w:r>
        <w:rPr>
          <w:bCs/>
        </w:rPr>
        <w:t xml:space="preserve"> of creating all things.</w:t>
      </w:r>
      <w:r w:rsidR="001B72E4">
        <w:rPr>
          <w:bCs/>
        </w:rPr>
        <w:t xml:space="preserve">  If God delegates all earthly rule and authority to his anointed one who is to maintain cosmic harmony and order,</w:t>
      </w:r>
      <w:r w:rsidR="00EE63DD">
        <w:rPr>
          <w:bCs/>
        </w:rPr>
        <w:t xml:space="preserve"> as “the strength of his father,”</w:t>
      </w:r>
      <w:r w:rsidR="001B72E4">
        <w:rPr>
          <w:bCs/>
        </w:rPr>
        <w:t xml:space="preserve"> as the royal psalms indicate (Ps. 2:6-8;</w:t>
      </w:r>
      <w:r w:rsidR="00F570F3">
        <w:rPr>
          <w:bCs/>
        </w:rPr>
        <w:t xml:space="preserve"> 44; 72;</w:t>
      </w:r>
      <w:r w:rsidR="00EE63DD">
        <w:rPr>
          <w:bCs/>
        </w:rPr>
        <w:t xml:space="preserve"> 110:1-3), </w:t>
      </w:r>
      <w:r w:rsidR="001B72E4">
        <w:rPr>
          <w:bCs/>
        </w:rPr>
        <w:t>then it may be that Paul is simply</w:t>
      </w:r>
      <w:r w:rsidR="009E487B">
        <w:rPr>
          <w:bCs/>
        </w:rPr>
        <w:t>,</w:t>
      </w:r>
      <w:r w:rsidR="001B72E4">
        <w:rPr>
          <w:bCs/>
        </w:rPr>
        <w:t xml:space="preserve"> </w:t>
      </w:r>
      <w:r w:rsidR="00F570F3">
        <w:rPr>
          <w:bCs/>
        </w:rPr>
        <w:t xml:space="preserve">yet breathtakingly </w:t>
      </w:r>
      <w:r w:rsidR="001B72E4">
        <w:rPr>
          <w:bCs/>
        </w:rPr>
        <w:t>extending “the purview of the Messiah’s authority to include primal creation.”</w:t>
      </w:r>
      <w:r w:rsidR="001B72E4">
        <w:rPr>
          <w:rStyle w:val="FootnoteReference"/>
          <w:bCs/>
        </w:rPr>
        <w:footnoteReference w:id="133"/>
      </w:r>
    </w:p>
    <w:p w14:paraId="25BB933E" w14:textId="157FA658" w:rsidR="00C85730" w:rsidRPr="00C85730" w:rsidRDefault="00C85730" w:rsidP="00C85730">
      <w:pPr>
        <w:spacing w:line="480" w:lineRule="auto"/>
        <w:ind w:firstLine="720"/>
        <w:jc w:val="center"/>
        <w:rPr>
          <w:bCs/>
          <w:i/>
        </w:rPr>
      </w:pPr>
      <w:r w:rsidRPr="00C85730">
        <w:rPr>
          <w:bCs/>
          <w:i/>
        </w:rPr>
        <w:t>“And he is before all things” (1:17a)</w:t>
      </w:r>
    </w:p>
    <w:p w14:paraId="5D1D3557" w14:textId="5EF5918B" w:rsidR="00C85730" w:rsidRPr="00950B01" w:rsidRDefault="008025F6" w:rsidP="00EB6637">
      <w:pPr>
        <w:spacing w:line="480" w:lineRule="auto"/>
        <w:jc w:val="both"/>
        <w:rPr>
          <w:rFonts w:ascii="Cambria" w:hAnsi="Cambria" w:cs="Times New Roman"/>
        </w:rPr>
      </w:pPr>
      <w:r>
        <w:rPr>
          <w:bCs/>
        </w:rPr>
        <w:t>Paul’s claim that the royal subject of his encomia “is before all things” (</w:t>
      </w:r>
      <w:r>
        <w:rPr>
          <w:rFonts w:ascii="Gentium Plus" w:hAnsi="Gentium Plus"/>
          <w:bCs/>
          <w:lang w:val="el-GR"/>
        </w:rPr>
        <w:t>αὐτός ἐστιν πρὸ πάντων</w:t>
      </w:r>
      <w:r>
        <w:rPr>
          <w:bCs/>
        </w:rPr>
        <w:t>, Col. 1:17a), a stat</w:t>
      </w:r>
      <w:r w:rsidR="00E019EB">
        <w:rPr>
          <w:bCs/>
        </w:rPr>
        <w:t xml:space="preserve">ement that </w:t>
      </w:r>
      <w:r>
        <w:rPr>
          <w:bCs/>
        </w:rPr>
        <w:t xml:space="preserve">may refer to both the pre-existence </w:t>
      </w:r>
      <w:r w:rsidRPr="008025F6">
        <w:rPr>
          <w:bCs/>
          <w:i/>
          <w:iCs/>
        </w:rPr>
        <w:t>and</w:t>
      </w:r>
      <w:r>
        <w:rPr>
          <w:bCs/>
        </w:rPr>
        <w:t xml:space="preserve"> pre-eminence of the son, can be situated within </w:t>
      </w:r>
      <w:r w:rsidR="00950B01">
        <w:rPr>
          <w:bCs/>
        </w:rPr>
        <w:t>honors bestowed</w:t>
      </w:r>
      <w:r>
        <w:rPr>
          <w:bCs/>
        </w:rPr>
        <w:t xml:space="preserve"> </w:t>
      </w:r>
      <w:r w:rsidR="00950B01">
        <w:rPr>
          <w:bCs/>
        </w:rPr>
        <w:t>upon</w:t>
      </w:r>
      <w:r>
        <w:rPr>
          <w:bCs/>
        </w:rPr>
        <w:t xml:space="preserve"> Israel’s kings.</w:t>
      </w:r>
      <w:r w:rsidR="00950B01">
        <w:rPr>
          <w:bCs/>
        </w:rPr>
        <w:t xml:space="preserve">  There are at least two royal Psalms that </w:t>
      </w:r>
      <w:r w:rsidR="00950B01" w:rsidRPr="00B567A9">
        <w:rPr>
          <w:bCs/>
          <w:iCs/>
        </w:rPr>
        <w:t>allow</w:t>
      </w:r>
      <w:r w:rsidR="00950B01">
        <w:rPr>
          <w:bCs/>
        </w:rPr>
        <w:t xml:space="preserve"> for the possibility of an early Christian (or Jewish) interpretation of the figure as</w:t>
      </w:r>
      <w:r w:rsidR="00322D94">
        <w:rPr>
          <w:bCs/>
        </w:rPr>
        <w:t xml:space="preserve"> a </w:t>
      </w:r>
      <w:r w:rsidR="00322D94" w:rsidRPr="00322D94">
        <w:rPr>
          <w:bCs/>
          <w:i/>
          <w:iCs/>
        </w:rPr>
        <w:t>pre-existent coming messianic king</w:t>
      </w:r>
      <w:r w:rsidR="00322D94">
        <w:rPr>
          <w:bCs/>
        </w:rPr>
        <w:t>.</w:t>
      </w:r>
      <w:r w:rsidR="00322D94">
        <w:rPr>
          <w:rStyle w:val="FootnoteReference"/>
          <w:bCs/>
        </w:rPr>
        <w:footnoteReference w:id="134"/>
      </w:r>
      <w:r w:rsidR="00322D94">
        <w:rPr>
          <w:bCs/>
        </w:rPr>
        <w:t xml:space="preserve">  </w:t>
      </w:r>
      <w:r w:rsidR="00950B01">
        <w:rPr>
          <w:bCs/>
        </w:rPr>
        <w:t>In LXX Psalm 109, Yahweh</w:t>
      </w:r>
      <w:r w:rsidR="00FF0AFC">
        <w:rPr>
          <w:bCs/>
        </w:rPr>
        <w:t xml:space="preserve"> speak</w:t>
      </w:r>
      <w:r w:rsidR="00322D94">
        <w:rPr>
          <w:bCs/>
        </w:rPr>
        <w:t>s</w:t>
      </w:r>
      <w:r w:rsidR="00FF0AFC">
        <w:rPr>
          <w:bCs/>
        </w:rPr>
        <w:t xml:space="preserve"> of the king as: </w:t>
      </w:r>
      <w:r w:rsidR="00FF0AFC">
        <w:rPr>
          <w:rFonts w:ascii="Cambria" w:hAnsi="Cambria" w:cs="Times New Roman"/>
        </w:rPr>
        <w:t xml:space="preserve">“from the womb, </w:t>
      </w:r>
      <w:r w:rsidR="00FF0AFC" w:rsidRPr="00FF0AFC">
        <w:rPr>
          <w:rFonts w:ascii="Cambria" w:hAnsi="Cambria" w:cs="Times New Roman"/>
          <w:i/>
        </w:rPr>
        <w:t>before</w:t>
      </w:r>
      <w:r w:rsidR="00FF0AFC">
        <w:rPr>
          <w:rFonts w:ascii="Cambria" w:hAnsi="Cambria" w:cs="Times New Roman"/>
        </w:rPr>
        <w:t xml:space="preserve"> the morning star I begat you” (</w:t>
      </w:r>
      <w:r w:rsidR="00FF0AFC">
        <w:rPr>
          <w:rFonts w:ascii="Gentium Plus" w:hAnsi="Gentium Plus" w:cs="Times New Roman"/>
          <w:lang w:val="el-GR"/>
        </w:rPr>
        <w:t xml:space="preserve">ἐκ γαστρὸς </w:t>
      </w:r>
      <w:r w:rsidR="00FF0AFC" w:rsidRPr="00FF0AFC">
        <w:rPr>
          <w:rFonts w:ascii="Gentium Plus" w:hAnsi="Gentium Plus" w:cs="Times New Roman"/>
          <w:u w:val="single"/>
          <w:lang w:val="el-GR"/>
        </w:rPr>
        <w:t>πρὸ</w:t>
      </w:r>
      <w:r w:rsidR="00FF0AFC">
        <w:rPr>
          <w:rFonts w:ascii="Gentium Plus" w:hAnsi="Gentium Plus" w:cs="Times New Roman"/>
          <w:lang w:val="el-GR"/>
        </w:rPr>
        <w:t xml:space="preserve"> ἑωσφόρου ἐξεγέννησά σε</w:t>
      </w:r>
      <w:r w:rsidR="00FF0AFC">
        <w:rPr>
          <w:rFonts w:ascii="Cambria" w:hAnsi="Cambria" w:cs="Times New Roman"/>
        </w:rPr>
        <w:t>, v 3b).</w:t>
      </w:r>
      <w:r w:rsidR="00322D94">
        <w:rPr>
          <w:rStyle w:val="FootnoteReference"/>
          <w:rFonts w:ascii="Cambria" w:hAnsi="Cambria" w:cs="Times New Roman"/>
        </w:rPr>
        <w:footnoteReference w:id="135"/>
      </w:r>
      <w:r w:rsidR="00FF0AFC">
        <w:rPr>
          <w:rFonts w:ascii="Cambria" w:hAnsi="Cambria" w:cs="Times New Roman"/>
        </w:rPr>
        <w:t xml:space="preserve"> </w:t>
      </w:r>
      <w:r w:rsidR="00950B01">
        <w:rPr>
          <w:rFonts w:ascii="Cambria" w:hAnsi="Cambria" w:cs="Times New Roman"/>
        </w:rPr>
        <w:t xml:space="preserve"> Similarly, in </w:t>
      </w:r>
      <w:r w:rsidR="00E02542">
        <w:rPr>
          <w:rFonts w:ascii="Cambria" w:hAnsi="Cambria" w:cs="Times New Roman"/>
        </w:rPr>
        <w:t xml:space="preserve">LXX </w:t>
      </w:r>
      <w:r w:rsidR="00E019EB">
        <w:rPr>
          <w:rFonts w:ascii="Cambria" w:hAnsi="Cambria" w:cs="Times New Roman"/>
        </w:rPr>
        <w:t>Psalm 71</w:t>
      </w:r>
      <w:r w:rsidR="00950B01">
        <w:rPr>
          <w:rFonts w:ascii="Cambria" w:hAnsi="Cambria" w:cs="Times New Roman"/>
        </w:rPr>
        <w:t xml:space="preserve">, the translator translates </w:t>
      </w:r>
      <w:r w:rsidR="00E019EB">
        <w:rPr>
          <w:rFonts w:ascii="Cambria" w:hAnsi="Cambria" w:cs="Times New Roman"/>
        </w:rPr>
        <w:t xml:space="preserve">v. </w:t>
      </w:r>
      <w:r w:rsidR="00E02542">
        <w:rPr>
          <w:rFonts w:ascii="Cambria" w:hAnsi="Cambria" w:cs="Times New Roman"/>
        </w:rPr>
        <w:t xml:space="preserve">17, “his name endures before the sun” (Hebrew) with </w:t>
      </w:r>
      <w:r w:rsidR="00E02542" w:rsidRPr="00322D94">
        <w:rPr>
          <w:rFonts w:ascii="Gentium Plus" w:hAnsi="Gentium Plus" w:cs="Times New Roman"/>
          <w:u w:val="single"/>
          <w:lang w:val="el-GR"/>
        </w:rPr>
        <w:t>πρὸ τοῦ ἡλίου</w:t>
      </w:r>
      <w:r w:rsidR="00E02542">
        <w:rPr>
          <w:rFonts w:ascii="Gentium Plus" w:hAnsi="Gentium Plus" w:cs="Times New Roman"/>
          <w:lang w:val="el-GR"/>
        </w:rPr>
        <w:t xml:space="preserve"> διαμενεῖ τὸ ὄνομα αὐτοῦ</w:t>
      </w:r>
      <w:r w:rsidR="00E02542">
        <w:rPr>
          <w:rFonts w:ascii="Cambria" w:hAnsi="Cambria" w:cs="Times New Roman"/>
        </w:rPr>
        <w:t xml:space="preserve"> and thereby creates the possibility for a temporal </w:t>
      </w:r>
      <w:r w:rsidR="00B567A9">
        <w:rPr>
          <w:rFonts w:ascii="Cambria" w:hAnsi="Cambria" w:cs="Times New Roman"/>
        </w:rPr>
        <w:t>reading</w:t>
      </w:r>
      <w:r w:rsidR="00E02542">
        <w:rPr>
          <w:rFonts w:ascii="Cambria" w:hAnsi="Cambria" w:cs="Times New Roman"/>
        </w:rPr>
        <w:t>: “</w:t>
      </w:r>
      <w:r w:rsidR="000B73FA">
        <w:rPr>
          <w:rFonts w:ascii="Cambria" w:hAnsi="Cambria" w:cs="Times New Roman"/>
        </w:rPr>
        <w:t xml:space="preserve">his name endures </w:t>
      </w:r>
      <w:r w:rsidR="000B73FA" w:rsidRPr="000B73FA">
        <w:rPr>
          <w:rFonts w:ascii="Cambria" w:hAnsi="Cambria" w:cs="Times New Roman"/>
          <w:i/>
          <w:iCs/>
        </w:rPr>
        <w:t xml:space="preserve">before </w:t>
      </w:r>
      <w:r w:rsidR="000B73FA">
        <w:rPr>
          <w:rFonts w:ascii="Cambria" w:hAnsi="Cambria" w:cs="Times New Roman"/>
          <w:i/>
          <w:iCs/>
        </w:rPr>
        <w:t>[</w:t>
      </w:r>
      <w:r w:rsidR="000B73FA" w:rsidRPr="000B73FA">
        <w:rPr>
          <w:rFonts w:ascii="Cambria" w:hAnsi="Cambria" w:cs="Times New Roman"/>
          <w:i/>
          <w:iCs/>
        </w:rPr>
        <w:t xml:space="preserve">the </w:t>
      </w:r>
      <w:r w:rsidR="000B73FA">
        <w:rPr>
          <w:rFonts w:ascii="Cambria" w:hAnsi="Cambria" w:cs="Times New Roman"/>
          <w:i/>
          <w:iCs/>
        </w:rPr>
        <w:t>creation</w:t>
      </w:r>
      <w:r w:rsidR="000B73FA" w:rsidRPr="000B73FA">
        <w:rPr>
          <w:rFonts w:ascii="Cambria" w:hAnsi="Cambria" w:cs="Times New Roman"/>
          <w:i/>
          <w:iCs/>
        </w:rPr>
        <w:t xml:space="preserve"> of</w:t>
      </w:r>
      <w:r w:rsidR="000B73FA">
        <w:rPr>
          <w:rFonts w:ascii="Cambria" w:hAnsi="Cambria" w:cs="Times New Roman"/>
          <w:i/>
          <w:iCs/>
        </w:rPr>
        <w:t>]</w:t>
      </w:r>
      <w:r w:rsidR="000B73FA" w:rsidRPr="000B73FA">
        <w:rPr>
          <w:rFonts w:ascii="Cambria" w:hAnsi="Cambria" w:cs="Times New Roman"/>
          <w:i/>
          <w:iCs/>
        </w:rPr>
        <w:t xml:space="preserve"> the sun</w:t>
      </w:r>
      <w:r w:rsidR="000B73FA">
        <w:rPr>
          <w:rFonts w:ascii="Cambria" w:hAnsi="Cambria" w:cs="Times New Roman"/>
        </w:rPr>
        <w:t>” (LXX Ps. 71:17b).</w:t>
      </w:r>
      <w:r w:rsidR="000B73FA">
        <w:rPr>
          <w:rStyle w:val="FootnoteReference"/>
          <w:rFonts w:ascii="Cambria" w:hAnsi="Cambria" w:cs="Times New Roman"/>
        </w:rPr>
        <w:footnoteReference w:id="136"/>
      </w:r>
      <w:r w:rsidR="00EE63DD">
        <w:rPr>
          <w:rFonts w:ascii="Cambria" w:hAnsi="Cambria" w:cs="Times New Roman"/>
        </w:rPr>
        <w:t xml:space="preserve"> </w:t>
      </w:r>
      <w:r w:rsidR="00E54388">
        <w:rPr>
          <w:rFonts w:ascii="Cambria" w:hAnsi="Cambria" w:cs="Times New Roman"/>
        </w:rPr>
        <w:t xml:space="preserve">While the context does not demand an interpretation that results in a pre-existent Messiah, the use of the pronoun </w:t>
      </w:r>
      <w:r w:rsidR="00E54388" w:rsidRPr="00E54388">
        <w:rPr>
          <w:rFonts w:ascii="Gentium Plus" w:hAnsi="Gentium Plus" w:cs="Times New Roman"/>
          <w:lang w:val="el-GR"/>
        </w:rPr>
        <w:t>πρό</w:t>
      </w:r>
      <w:r w:rsidR="00E54388">
        <w:rPr>
          <w:rFonts w:ascii="Cambria" w:hAnsi="Cambria" w:cs="Times New Roman"/>
        </w:rPr>
        <w:t xml:space="preserve"> makes it possible. </w:t>
      </w:r>
      <w:r w:rsidR="00950B01">
        <w:rPr>
          <w:rFonts w:ascii="Cambria" w:hAnsi="Cambria" w:cs="Times New Roman"/>
        </w:rPr>
        <w:t xml:space="preserve"> The pre-existence of the</w:t>
      </w:r>
      <w:r w:rsidR="00B567A9">
        <w:rPr>
          <w:rFonts w:ascii="Cambria" w:hAnsi="Cambria" w:cs="Times New Roman"/>
        </w:rPr>
        <w:t xml:space="preserve"> messiah’s name </w:t>
      </w:r>
      <w:r w:rsidR="00950B01">
        <w:rPr>
          <w:rFonts w:ascii="Cambria" w:hAnsi="Cambria" w:cs="Times New Roman"/>
        </w:rPr>
        <w:t xml:space="preserve">is attested in </w:t>
      </w:r>
      <w:r w:rsidR="00950B01" w:rsidRPr="00950B01">
        <w:rPr>
          <w:rFonts w:ascii="Cambria" w:hAnsi="Cambria" w:cs="Times New Roman"/>
          <w:i/>
          <w:iCs/>
        </w:rPr>
        <w:t>1 Enoch</w:t>
      </w:r>
      <w:r w:rsidR="00C133FD">
        <w:rPr>
          <w:rFonts w:ascii="Cambria" w:hAnsi="Cambria" w:cs="Times New Roman"/>
        </w:rPr>
        <w:t xml:space="preserve"> 48:2-3: “</w:t>
      </w:r>
      <w:r w:rsidR="00950B01">
        <w:rPr>
          <w:rFonts w:ascii="Cambria" w:hAnsi="Cambria" w:cs="Times New Roman"/>
        </w:rPr>
        <w:t xml:space="preserve">the Son of Man was </w:t>
      </w:r>
      <w:r w:rsidR="00950B01" w:rsidRPr="00B567A9">
        <w:rPr>
          <w:rFonts w:ascii="Cambria" w:hAnsi="Cambria" w:cs="Times New Roman"/>
          <w:iCs/>
        </w:rPr>
        <w:t>named</w:t>
      </w:r>
      <w:r w:rsidR="00950B01">
        <w:rPr>
          <w:rFonts w:ascii="Cambria" w:hAnsi="Cambria" w:cs="Times New Roman"/>
        </w:rPr>
        <w:t xml:space="preserve"> in the presence of the Lord of Spirits, and his </w:t>
      </w:r>
      <w:r w:rsidR="00950B01" w:rsidRPr="00950B01">
        <w:rPr>
          <w:rFonts w:ascii="Cambria" w:hAnsi="Cambria" w:cs="Times New Roman"/>
          <w:i/>
          <w:iCs/>
        </w:rPr>
        <w:t>name before</w:t>
      </w:r>
      <w:r w:rsidR="00950B01">
        <w:rPr>
          <w:rFonts w:ascii="Cambria" w:hAnsi="Cambria" w:cs="Times New Roman"/>
        </w:rPr>
        <w:t xml:space="preserve"> the Chief of Days; and </w:t>
      </w:r>
      <w:r w:rsidR="00950B01" w:rsidRPr="00950B01">
        <w:rPr>
          <w:rFonts w:ascii="Cambria" w:hAnsi="Cambria" w:cs="Times New Roman"/>
          <w:i/>
        </w:rPr>
        <w:t>before the sun</w:t>
      </w:r>
      <w:r w:rsidR="00950B01">
        <w:rPr>
          <w:rFonts w:ascii="Cambria" w:hAnsi="Cambria" w:cs="Times New Roman"/>
        </w:rPr>
        <w:t xml:space="preserve"> and the signs were created, </w:t>
      </w:r>
      <w:r w:rsidR="00950B01" w:rsidRPr="00950B01">
        <w:rPr>
          <w:rFonts w:ascii="Cambria" w:hAnsi="Cambria" w:cs="Times New Roman"/>
          <w:i/>
          <w:iCs/>
        </w:rPr>
        <w:t>before</w:t>
      </w:r>
      <w:r w:rsidR="00950B01">
        <w:rPr>
          <w:rFonts w:ascii="Cambria" w:hAnsi="Cambria" w:cs="Times New Roman"/>
          <w:iCs/>
        </w:rPr>
        <w:t xml:space="preserve"> the stars of the heavens were made, his name was named </w:t>
      </w:r>
      <w:r w:rsidR="00950B01" w:rsidRPr="00950B01">
        <w:rPr>
          <w:rFonts w:ascii="Cambria" w:hAnsi="Cambria" w:cs="Times New Roman"/>
          <w:i/>
          <w:iCs/>
        </w:rPr>
        <w:t>before</w:t>
      </w:r>
      <w:r w:rsidR="00950B01">
        <w:rPr>
          <w:rFonts w:ascii="Cambria" w:hAnsi="Cambria" w:cs="Times New Roman"/>
          <w:iCs/>
        </w:rPr>
        <w:t xml:space="preserve"> the Lord of the Spirits.”</w:t>
      </w:r>
      <w:r w:rsidR="00950B01">
        <w:rPr>
          <w:rStyle w:val="FootnoteReference"/>
          <w:rFonts w:ascii="Cambria" w:hAnsi="Cambria" w:cs="Times New Roman"/>
          <w:iCs/>
        </w:rPr>
        <w:footnoteReference w:id="137"/>
      </w:r>
      <w:r w:rsidR="00950B01">
        <w:rPr>
          <w:rFonts w:ascii="Cambria" w:hAnsi="Cambria" w:cs="Times New Roman"/>
          <w:iCs/>
        </w:rPr>
        <w:t xml:space="preserve">  </w:t>
      </w:r>
    </w:p>
    <w:p w14:paraId="039D0BB3" w14:textId="5AC6B20F" w:rsidR="00C85730" w:rsidRPr="00C85730" w:rsidRDefault="00C85730" w:rsidP="00C85730">
      <w:pPr>
        <w:spacing w:line="480" w:lineRule="auto"/>
        <w:jc w:val="center"/>
        <w:rPr>
          <w:rFonts w:ascii="Cambria" w:hAnsi="Cambria" w:cs="Times New Roman"/>
          <w:i/>
        </w:rPr>
      </w:pPr>
      <w:r>
        <w:rPr>
          <w:rFonts w:ascii="Cambria" w:hAnsi="Cambria" w:cs="Times New Roman"/>
          <w:i/>
        </w:rPr>
        <w:t>“And all things are held together in him” (1:17b)</w:t>
      </w:r>
    </w:p>
    <w:p w14:paraId="0C73151C" w14:textId="17856099" w:rsidR="00791D7A" w:rsidRDefault="00225DE7" w:rsidP="00322D94">
      <w:pPr>
        <w:spacing w:line="480" w:lineRule="auto"/>
        <w:jc w:val="both"/>
        <w:rPr>
          <w:rFonts w:ascii="Cambria" w:hAnsi="Cambria" w:cs="Times New Roman"/>
        </w:rPr>
      </w:pPr>
      <w:r>
        <w:rPr>
          <w:rFonts w:ascii="Cambria" w:hAnsi="Cambria" w:cs="Times New Roman"/>
        </w:rPr>
        <w:t>T</w:t>
      </w:r>
      <w:r w:rsidR="009B3F32">
        <w:rPr>
          <w:rFonts w:ascii="Cambria" w:hAnsi="Cambria" w:cs="Times New Roman"/>
        </w:rPr>
        <w:t>he statement that “all things are held together in him” (</w:t>
      </w:r>
      <w:r w:rsidR="009B3F32">
        <w:rPr>
          <w:rFonts w:ascii="Gentium Plus" w:hAnsi="Gentium Plus" w:cs="Times New Roman"/>
          <w:lang w:val="el-GR"/>
        </w:rPr>
        <w:t>τὰ πάντα δι᾽ ἐν αὐτῷ συνέστηκεν</w:t>
      </w:r>
      <w:r w:rsidR="00A86BE7">
        <w:rPr>
          <w:rFonts w:ascii="Cambria" w:hAnsi="Cambria" w:cs="Times New Roman"/>
        </w:rPr>
        <w:t>, Col. 1:17b)</w:t>
      </w:r>
      <w:r w:rsidR="00560B89">
        <w:rPr>
          <w:rFonts w:ascii="Cambria" w:hAnsi="Cambria" w:cs="Times New Roman"/>
        </w:rPr>
        <w:t xml:space="preserve"> –</w:t>
      </w:r>
      <w:r w:rsidR="00A9768B">
        <w:rPr>
          <w:rFonts w:ascii="Cambria" w:hAnsi="Cambria" w:cs="Times New Roman"/>
        </w:rPr>
        <w:t xml:space="preserve"> </w:t>
      </w:r>
      <w:r w:rsidR="00A9768B">
        <w:rPr>
          <w:rFonts w:ascii="Gentium Plus" w:hAnsi="Gentium Plus" w:cs="Times New Roman"/>
          <w:lang w:val="el-GR"/>
        </w:rPr>
        <w:t>αὐτῷ</w:t>
      </w:r>
      <w:r w:rsidR="00A9768B">
        <w:rPr>
          <w:rFonts w:ascii="Cambria" w:hAnsi="Cambria" w:cs="Times New Roman"/>
        </w:rPr>
        <w:t xml:space="preserve"> standing in for</w:t>
      </w:r>
      <w:r w:rsidR="00560B89">
        <w:rPr>
          <w:rFonts w:ascii="Cambria" w:hAnsi="Cambria" w:cs="Times New Roman"/>
        </w:rPr>
        <w:t xml:space="preserve"> the one termed son of God, image of God, and firstborn over all creation</w:t>
      </w:r>
      <w:r w:rsidR="00A86BE7">
        <w:rPr>
          <w:rFonts w:ascii="Cambria" w:hAnsi="Cambria" w:cs="Times New Roman"/>
        </w:rPr>
        <w:t xml:space="preserve"> </w:t>
      </w:r>
      <w:r w:rsidR="00560B89">
        <w:rPr>
          <w:rFonts w:ascii="Cambria" w:hAnsi="Cambria" w:cs="Times New Roman"/>
        </w:rPr>
        <w:t xml:space="preserve">respectively – </w:t>
      </w:r>
      <w:r w:rsidR="00A86BE7">
        <w:rPr>
          <w:rFonts w:ascii="Cambria" w:hAnsi="Cambria" w:cs="Times New Roman"/>
        </w:rPr>
        <w:t>reflects the</w:t>
      </w:r>
      <w:r w:rsidR="009B3F32">
        <w:rPr>
          <w:rFonts w:ascii="Cambria" w:hAnsi="Cambria" w:cs="Times New Roman"/>
        </w:rPr>
        <w:t xml:space="preserve"> notion of the king as stabilizer of the cosmos.</w:t>
      </w:r>
      <w:r w:rsidR="00995B96">
        <w:rPr>
          <w:rStyle w:val="FootnoteReference"/>
          <w:rFonts w:ascii="Cambria" w:hAnsi="Cambria" w:cs="Times New Roman"/>
        </w:rPr>
        <w:footnoteReference w:id="138"/>
      </w:r>
      <w:r w:rsidR="009B3F32">
        <w:rPr>
          <w:rFonts w:ascii="Cambria" w:hAnsi="Cambria" w:cs="Times New Roman"/>
        </w:rPr>
        <w:t xml:space="preserve">  </w:t>
      </w:r>
      <w:r w:rsidR="00A9768B">
        <w:rPr>
          <w:rFonts w:ascii="Cambria" w:hAnsi="Cambria" w:cs="Times New Roman"/>
        </w:rPr>
        <w:t xml:space="preserve">The theme that the king stabilizes the cosmos by establishing upon earth divine heavenly harmony is a common </w:t>
      </w:r>
      <w:r w:rsidR="00A9768B" w:rsidRPr="00A9768B">
        <w:rPr>
          <w:rFonts w:ascii="Cambria" w:hAnsi="Cambria" w:cs="Times New Roman"/>
          <w:i/>
          <w:iCs/>
        </w:rPr>
        <w:t>topos</w:t>
      </w:r>
      <w:r w:rsidR="00A9768B">
        <w:rPr>
          <w:rFonts w:ascii="Cambria" w:hAnsi="Cambria" w:cs="Times New Roman"/>
        </w:rPr>
        <w:t xml:space="preserve"> within </w:t>
      </w:r>
      <w:r w:rsidR="001E65CC">
        <w:rPr>
          <w:rFonts w:ascii="Cambria" w:hAnsi="Cambria" w:cs="Times New Roman"/>
        </w:rPr>
        <w:t xml:space="preserve">the Davidic psalms and </w:t>
      </w:r>
      <w:r w:rsidR="00A9768B">
        <w:rPr>
          <w:rFonts w:ascii="Cambria" w:hAnsi="Cambria" w:cs="Times New Roman"/>
        </w:rPr>
        <w:t>imperial panegyrics.</w:t>
      </w:r>
      <w:r w:rsidR="00076917">
        <w:rPr>
          <w:rFonts w:ascii="Cambria" w:hAnsi="Cambria" w:cs="Times New Roman"/>
        </w:rPr>
        <w:t xml:space="preserve"> </w:t>
      </w:r>
      <w:r w:rsidR="00A9768B">
        <w:rPr>
          <w:rFonts w:ascii="Cambria" w:hAnsi="Cambria" w:cs="Times New Roman"/>
        </w:rPr>
        <w:t xml:space="preserve"> </w:t>
      </w:r>
      <w:r w:rsidR="00791D7A">
        <w:rPr>
          <w:rFonts w:ascii="Cambria" w:hAnsi="Cambria" w:cs="Times New Roman"/>
          <w:iCs/>
        </w:rPr>
        <w:t>As seen above, Pss. 2, 45, 72, 89, and 110 depict the Davidic king as Yahweh’s authorized, deputized ruler who stabilizes the created order on God’s behalf.  Commenting on Ps. 89, Jon Levenson speaks of God’s gift of mastery over creation to the king: “It is now the Davidic throne that guarantees cosmic stability….David is YHWH’s vicar on Earth.”</w:t>
      </w:r>
      <w:r w:rsidR="00791D7A">
        <w:rPr>
          <w:rStyle w:val="FootnoteReference"/>
          <w:rFonts w:ascii="Cambria" w:hAnsi="Cambria" w:cs="Times New Roman"/>
          <w:iCs/>
        </w:rPr>
        <w:footnoteReference w:id="139"/>
      </w:r>
    </w:p>
    <w:p w14:paraId="27667761" w14:textId="35FD83BA" w:rsidR="005655CE" w:rsidRDefault="00A9768B" w:rsidP="000736BE">
      <w:pPr>
        <w:spacing w:line="480" w:lineRule="auto"/>
        <w:ind w:firstLine="360"/>
        <w:jc w:val="both"/>
        <w:rPr>
          <w:rFonts w:ascii="Cambria" w:hAnsi="Cambria" w:cs="Times New Roman"/>
        </w:rPr>
      </w:pPr>
      <w:r>
        <w:rPr>
          <w:rFonts w:ascii="Cambria" w:hAnsi="Cambria" w:cs="Times New Roman"/>
        </w:rPr>
        <w:t xml:space="preserve">To give a few examples, in his </w:t>
      </w:r>
      <w:r w:rsidRPr="00A9768B">
        <w:rPr>
          <w:rFonts w:ascii="Cambria" w:hAnsi="Cambria" w:cs="Times New Roman"/>
          <w:i/>
          <w:iCs/>
        </w:rPr>
        <w:t>Panegyricus</w:t>
      </w:r>
      <w:r>
        <w:rPr>
          <w:rFonts w:ascii="Cambria" w:hAnsi="Cambria" w:cs="Times New Roman"/>
        </w:rPr>
        <w:t xml:space="preserve"> for Trajan, Pliny declares the “Father of the universe rules all with a nod of his head” and can now devote himself to heaven’s concerns “since he has given you to us to fill his role with regard to</w:t>
      </w:r>
      <w:r w:rsidR="00940FDF">
        <w:rPr>
          <w:rFonts w:ascii="Cambria" w:hAnsi="Cambria" w:cs="Times New Roman"/>
        </w:rPr>
        <w:t xml:space="preserve"> the entire human race” (80.5). </w:t>
      </w:r>
      <w:r w:rsidR="009B7242">
        <w:rPr>
          <w:rFonts w:ascii="Cambria" w:hAnsi="Cambria" w:cs="Times New Roman"/>
        </w:rPr>
        <w:t xml:space="preserve"> And the Pseudo-Pythagorean treatises on kingship consistently uphold the king as the guarantor of cosmic harmony and order: as the king is a reflection of the gods, so by his imitation and reflection of the harmony of the heavenly realm he procures order and stability on the earth.</w:t>
      </w:r>
      <w:r w:rsidR="009B7242">
        <w:rPr>
          <w:rStyle w:val="FootnoteReference"/>
          <w:rFonts w:ascii="Cambria" w:hAnsi="Cambria" w:cs="Times New Roman"/>
        </w:rPr>
        <w:footnoteReference w:id="140"/>
      </w:r>
      <w:r w:rsidR="009B7242">
        <w:rPr>
          <w:rFonts w:ascii="Cambria" w:hAnsi="Cambria" w:cs="Times New Roman"/>
        </w:rPr>
        <w:t xml:space="preserve"> </w:t>
      </w:r>
      <w:r w:rsidR="005655CE">
        <w:rPr>
          <w:rFonts w:ascii="Cambria" w:hAnsi="Cambria" w:cs="Times New Roman"/>
        </w:rPr>
        <w:t>So, for example, Diotogenes: “…the king is to bring the whole kingdom into harmony with</w:t>
      </w:r>
      <w:r w:rsidR="005F5699">
        <w:rPr>
          <w:rFonts w:ascii="Cambria" w:hAnsi="Cambria" w:cs="Times New Roman"/>
        </w:rPr>
        <w:t xml:space="preserve"> his single rule and leadership;</w:t>
      </w:r>
      <w:r w:rsidR="005655CE">
        <w:rPr>
          <w:rFonts w:ascii="Cambria" w:hAnsi="Cambria" w:cs="Times New Roman"/>
        </w:rPr>
        <w:t>”</w:t>
      </w:r>
      <w:r w:rsidR="005F5699">
        <w:rPr>
          <w:rFonts w:ascii="Cambria" w:hAnsi="Cambria" w:cs="Times New Roman"/>
        </w:rPr>
        <w:t xml:space="preserve"> the king is “overseer and fashioner of the organization of which he is the dictator.”</w:t>
      </w:r>
      <w:r w:rsidR="005655CE">
        <w:rPr>
          <w:rStyle w:val="FootnoteReference"/>
          <w:rFonts w:ascii="Cambria" w:hAnsi="Cambria" w:cs="Times New Roman"/>
        </w:rPr>
        <w:footnoteReference w:id="141"/>
      </w:r>
      <w:r w:rsidR="005F5699">
        <w:rPr>
          <w:rFonts w:ascii="Cambria" w:hAnsi="Cambria" w:cs="Times New Roman"/>
        </w:rPr>
        <w:t xml:space="preserve">  As God/the gods were seen as “holding and shaping matter into the cosmos” so “that is what the king…had to do for his kingdom.”</w:t>
      </w:r>
      <w:r w:rsidR="005F5699">
        <w:rPr>
          <w:rStyle w:val="FootnoteReference"/>
          <w:rFonts w:ascii="Cambria" w:hAnsi="Cambria" w:cs="Times New Roman"/>
        </w:rPr>
        <w:footnoteReference w:id="142"/>
      </w:r>
      <w:r w:rsidR="009A7389">
        <w:rPr>
          <w:rFonts w:ascii="Cambria" w:hAnsi="Cambria" w:cs="Times New Roman"/>
        </w:rPr>
        <w:t xml:space="preserve"> </w:t>
      </w:r>
      <w:r w:rsidR="00076917">
        <w:rPr>
          <w:rFonts w:ascii="Cambria" w:hAnsi="Cambria" w:cs="Times New Roman"/>
        </w:rPr>
        <w:t xml:space="preserve"> Plutarch, as we have seen, says “the ruler is the image of God </w:t>
      </w:r>
      <w:r w:rsidR="00076917" w:rsidRPr="00076917">
        <w:rPr>
          <w:rFonts w:ascii="Cambria" w:hAnsi="Cambria" w:cs="Times New Roman"/>
          <w:i/>
          <w:iCs/>
        </w:rPr>
        <w:t>who orders all things</w:t>
      </w:r>
      <w:r w:rsidR="00076917">
        <w:rPr>
          <w:rFonts w:ascii="Cambria" w:hAnsi="Cambria" w:cs="Times New Roman"/>
          <w:iCs/>
        </w:rPr>
        <w:t>”(780e).</w:t>
      </w:r>
      <w:r w:rsidR="00076917">
        <w:rPr>
          <w:rFonts w:ascii="Cambria" w:hAnsi="Cambria" w:cs="Times New Roman"/>
        </w:rPr>
        <w:t xml:space="preserve"> </w:t>
      </w:r>
      <w:r w:rsidR="009A7389">
        <w:rPr>
          <w:rFonts w:ascii="Cambria" w:hAnsi="Cambria" w:cs="Times New Roman"/>
        </w:rPr>
        <w:t>That the king effects harmony for his kingdom and thereby establishes cosmic order is simply ubiquitous throughout ancient kingship texts.</w:t>
      </w:r>
      <w:r w:rsidR="009A7389">
        <w:rPr>
          <w:rStyle w:val="FootnoteReference"/>
          <w:rFonts w:ascii="Cambria" w:hAnsi="Cambria" w:cs="Times New Roman"/>
        </w:rPr>
        <w:footnoteReference w:id="143"/>
      </w:r>
    </w:p>
    <w:p w14:paraId="260435A6" w14:textId="6B93B1B7" w:rsidR="000736BE" w:rsidRDefault="009B7242" w:rsidP="00C85730">
      <w:pPr>
        <w:spacing w:line="480" w:lineRule="auto"/>
        <w:ind w:firstLine="360"/>
        <w:jc w:val="both"/>
        <w:rPr>
          <w:rFonts w:ascii="Cambria" w:hAnsi="Cambria" w:cs="Times New Roman"/>
        </w:rPr>
      </w:pPr>
      <w:r>
        <w:rPr>
          <w:rFonts w:ascii="Cambria" w:hAnsi="Cambria" w:cs="Times New Roman"/>
        </w:rPr>
        <w:t xml:space="preserve">We have seen above that praise of Augustus’ rule often centered upon his production of cosmic </w:t>
      </w:r>
      <w:r w:rsidR="00B74863">
        <w:rPr>
          <w:rFonts w:ascii="Cambria" w:hAnsi="Cambria" w:cs="Times New Roman"/>
        </w:rPr>
        <w:t>stability and order</w:t>
      </w:r>
      <w:r w:rsidR="00B42C4C">
        <w:rPr>
          <w:rFonts w:ascii="Cambria" w:hAnsi="Cambria" w:cs="Times New Roman"/>
        </w:rPr>
        <w:t>.</w:t>
      </w:r>
      <w:r>
        <w:rPr>
          <w:rFonts w:ascii="Cambria" w:hAnsi="Cambria" w:cs="Times New Roman"/>
        </w:rPr>
        <w:t xml:space="preserve">  To give </w:t>
      </w:r>
      <w:r w:rsidR="000736BE">
        <w:rPr>
          <w:rFonts w:ascii="Cambria" w:hAnsi="Cambria" w:cs="Times New Roman"/>
        </w:rPr>
        <w:t>two</w:t>
      </w:r>
      <w:r>
        <w:rPr>
          <w:rFonts w:ascii="Cambria" w:hAnsi="Cambria" w:cs="Times New Roman"/>
        </w:rPr>
        <w:t xml:space="preserve"> more example</w:t>
      </w:r>
      <w:r w:rsidR="000736BE">
        <w:rPr>
          <w:rFonts w:ascii="Cambria" w:hAnsi="Cambria" w:cs="Times New Roman"/>
        </w:rPr>
        <w:t>s</w:t>
      </w:r>
      <w:r>
        <w:rPr>
          <w:rFonts w:ascii="Cambria" w:hAnsi="Cambria" w:cs="Times New Roman"/>
        </w:rPr>
        <w:t>, Augustus “restored stability, when everything was collapsing and falling into disarray, and gave a new look to the entire world.”</w:t>
      </w:r>
      <w:r>
        <w:rPr>
          <w:rStyle w:val="FootnoteReference"/>
          <w:rFonts w:ascii="Cambria" w:hAnsi="Cambria" w:cs="Times New Roman"/>
        </w:rPr>
        <w:footnoteReference w:id="144"/>
      </w:r>
      <w:r>
        <w:rPr>
          <w:rFonts w:ascii="Cambria" w:hAnsi="Cambria" w:cs="Times New Roman"/>
        </w:rPr>
        <w:t xml:space="preserve"> </w:t>
      </w:r>
      <w:r w:rsidR="000736BE">
        <w:rPr>
          <w:rFonts w:ascii="Cambria" w:hAnsi="Cambria" w:cs="Times New Roman"/>
        </w:rPr>
        <w:t>Philo refers to Augustus as “the Caesar who calmed the torrential storms on every side, who healed the pestilences common to Greeks and barbarians…who led disorder into order</w:t>
      </w:r>
      <w:r w:rsidR="00791D7A">
        <w:rPr>
          <w:rFonts w:ascii="Cambria" w:hAnsi="Cambria" w:cs="Times New Roman"/>
        </w:rPr>
        <w:t xml:space="preserve"> and brought gentle manners and harmony to all unsociable and brutish nations</w:t>
      </w:r>
      <w:r w:rsidR="000736BE">
        <w:rPr>
          <w:rFonts w:ascii="Cambria" w:hAnsi="Cambria" w:cs="Times New Roman"/>
        </w:rPr>
        <w:t>” (</w:t>
      </w:r>
      <w:r w:rsidR="00791D7A">
        <w:rPr>
          <w:rFonts w:ascii="Cambria" w:hAnsi="Cambria" w:cs="Times New Roman"/>
          <w:i/>
        </w:rPr>
        <w:t>Embassy to Gaius</w:t>
      </w:r>
      <w:r w:rsidR="00791D7A">
        <w:rPr>
          <w:rFonts w:ascii="Cambria" w:hAnsi="Cambria" w:cs="Times New Roman"/>
        </w:rPr>
        <w:t xml:space="preserve">, </w:t>
      </w:r>
      <w:r w:rsidR="000736BE">
        <w:rPr>
          <w:rFonts w:ascii="Cambria" w:hAnsi="Cambria" w:cs="Times New Roman"/>
        </w:rPr>
        <w:t>145</w:t>
      </w:r>
      <w:r w:rsidR="00791D7A">
        <w:rPr>
          <w:rFonts w:ascii="Cambria" w:hAnsi="Cambria" w:cs="Times New Roman"/>
        </w:rPr>
        <w:t>-147</w:t>
      </w:r>
      <w:r w:rsidR="000736BE">
        <w:rPr>
          <w:rFonts w:ascii="Cambria" w:hAnsi="Cambria" w:cs="Times New Roman"/>
        </w:rPr>
        <w:t>).</w:t>
      </w:r>
      <w:r>
        <w:rPr>
          <w:rFonts w:ascii="Cambria" w:hAnsi="Cambria" w:cs="Times New Roman"/>
        </w:rPr>
        <w:t xml:space="preserve"> </w:t>
      </w:r>
      <w:r w:rsidR="007F10E7">
        <w:rPr>
          <w:rFonts w:ascii="Cambria" w:hAnsi="Cambria" w:cs="Times New Roman"/>
        </w:rPr>
        <w:t xml:space="preserve">And finally, Ovid’s </w:t>
      </w:r>
      <w:r w:rsidR="007F10E7" w:rsidRPr="007F10E7">
        <w:rPr>
          <w:rFonts w:ascii="Cambria" w:hAnsi="Cambria" w:cs="Times New Roman"/>
          <w:i/>
          <w:iCs/>
        </w:rPr>
        <w:t>Metamorphoses</w:t>
      </w:r>
      <w:r w:rsidR="007F10E7">
        <w:rPr>
          <w:rFonts w:ascii="Cambria" w:hAnsi="Cambria" w:cs="Times New Roman"/>
        </w:rPr>
        <w:t xml:space="preserve"> states “Jupiter controls the heights of heaven and the kingdom’s of the tri-formed universe; but the earth is under Augustus’ sway.  Each is both father and ruler” (858-860).</w:t>
      </w:r>
    </w:p>
    <w:p w14:paraId="1808695A" w14:textId="3F7E6669" w:rsidR="006C6E9A" w:rsidRPr="00BE7138" w:rsidRDefault="009B7242" w:rsidP="00BE7138">
      <w:pPr>
        <w:spacing w:line="480" w:lineRule="auto"/>
        <w:ind w:firstLine="360"/>
        <w:jc w:val="both"/>
        <w:rPr>
          <w:rFonts w:ascii="Cambria" w:hAnsi="Cambria" w:cs="Times New Roman"/>
          <w:iCs/>
        </w:rPr>
      </w:pPr>
      <w:r>
        <w:rPr>
          <w:rFonts w:ascii="Cambria" w:hAnsi="Cambria" w:cs="Times New Roman"/>
        </w:rPr>
        <w:t>The poets’ depictions of Augustus’ reign ushering in a per</w:t>
      </w:r>
      <w:r w:rsidR="006C6E9A">
        <w:rPr>
          <w:rFonts w:ascii="Cambria" w:hAnsi="Cambria" w:cs="Times New Roman"/>
        </w:rPr>
        <w:t>iod of cosmic fertility</w:t>
      </w:r>
      <w:r>
        <w:rPr>
          <w:rFonts w:ascii="Cambria" w:hAnsi="Cambria" w:cs="Times New Roman"/>
        </w:rPr>
        <w:t xml:space="preserve"> and abundance contribute to the notion of the cosmos’ dependence upon </w:t>
      </w:r>
      <w:r w:rsidRPr="006C6E9A">
        <w:rPr>
          <w:rFonts w:ascii="Cambria" w:hAnsi="Cambria" w:cs="Times New Roman"/>
          <w:iCs/>
        </w:rPr>
        <w:t>the</w:t>
      </w:r>
      <w:r>
        <w:rPr>
          <w:rFonts w:ascii="Cambria" w:hAnsi="Cambria" w:cs="Times New Roman"/>
        </w:rPr>
        <w:t xml:space="preserve"> king.</w:t>
      </w:r>
      <w:r>
        <w:rPr>
          <w:rStyle w:val="FootnoteReference"/>
          <w:rFonts w:ascii="Cambria" w:hAnsi="Cambria" w:cs="Times New Roman"/>
        </w:rPr>
        <w:footnoteReference w:id="145"/>
      </w:r>
      <w:r>
        <w:rPr>
          <w:rFonts w:ascii="Cambria" w:hAnsi="Cambria" w:cs="Times New Roman"/>
        </w:rPr>
        <w:t xml:space="preserve"> </w:t>
      </w:r>
      <w:r w:rsidR="00791D7A">
        <w:rPr>
          <w:rFonts w:ascii="Cambria" w:hAnsi="Cambria" w:cs="Times New Roman"/>
        </w:rPr>
        <w:t xml:space="preserve"> Paul’s assertion that </w:t>
      </w:r>
      <w:r w:rsidR="00940FDF">
        <w:rPr>
          <w:rFonts w:ascii="Cambria" w:hAnsi="Cambria" w:cs="Times New Roman"/>
        </w:rPr>
        <w:t xml:space="preserve">all creation is “held together in him,” </w:t>
      </w:r>
      <w:r w:rsidR="00791D7A">
        <w:rPr>
          <w:rFonts w:ascii="Cambria" w:hAnsi="Cambria" w:cs="Times New Roman"/>
        </w:rPr>
        <w:t>may be seen as shedding</w:t>
      </w:r>
      <w:r w:rsidR="00CB46C0">
        <w:rPr>
          <w:rFonts w:ascii="Cambria" w:hAnsi="Cambria" w:cs="Times New Roman"/>
        </w:rPr>
        <w:t xml:space="preserve"> light on</w:t>
      </w:r>
      <w:r w:rsidR="00940FDF">
        <w:rPr>
          <w:rFonts w:ascii="Cambria" w:hAnsi="Cambria" w:cs="Times New Roman"/>
        </w:rPr>
        <w:t xml:space="preserve"> </w:t>
      </w:r>
      <w:r w:rsidR="006C6E9A">
        <w:rPr>
          <w:rFonts w:ascii="Cambria" w:hAnsi="Cambria" w:cs="Times New Roman"/>
        </w:rPr>
        <w:t>his</w:t>
      </w:r>
      <w:r w:rsidR="00940FDF">
        <w:rPr>
          <w:rFonts w:ascii="Cambria" w:hAnsi="Cambria" w:cs="Times New Roman"/>
        </w:rPr>
        <w:t xml:space="preserve"> own messianic </w:t>
      </w:r>
      <w:r w:rsidR="006C6E9A">
        <w:rPr>
          <w:rFonts w:ascii="Cambria" w:hAnsi="Cambria" w:cs="Times New Roman"/>
        </w:rPr>
        <w:t>use</w:t>
      </w:r>
      <w:r w:rsidR="00940FDF">
        <w:rPr>
          <w:rFonts w:ascii="Cambria" w:hAnsi="Cambria" w:cs="Times New Roman"/>
        </w:rPr>
        <w:t xml:space="preserve"> of agricultural images of abundance: “the gospel of truth</w:t>
      </w:r>
      <w:r w:rsidR="0019542F">
        <w:rPr>
          <w:rFonts w:ascii="Cambria" w:hAnsi="Cambria" w:cs="Times New Roman"/>
        </w:rPr>
        <w:t xml:space="preserve"> (</w:t>
      </w:r>
      <w:r w:rsidR="0019542F">
        <w:rPr>
          <w:rFonts w:ascii="Gentium Plus" w:hAnsi="Gentium Plus" w:cs="Times New Roman"/>
          <w:lang w:val="el-GR"/>
        </w:rPr>
        <w:t>τῷ</w:t>
      </w:r>
      <w:r w:rsidR="00AC7133">
        <w:rPr>
          <w:rFonts w:ascii="Gentium Plus" w:hAnsi="Gentium Plus" w:cs="Times New Roman"/>
          <w:lang w:val="el-GR"/>
        </w:rPr>
        <w:t xml:space="preserve"> λόγῳ τῆς ἀληθείας τοῦ εὐαγγελιου</w:t>
      </w:r>
      <w:r w:rsidR="0019542F">
        <w:rPr>
          <w:rFonts w:ascii="Cambria" w:hAnsi="Cambria" w:cs="Times New Roman"/>
        </w:rPr>
        <w:t>)</w:t>
      </w:r>
      <w:r w:rsidR="00CB46C0">
        <w:rPr>
          <w:rFonts w:ascii="Cambria" w:hAnsi="Cambria" w:cs="Times New Roman"/>
        </w:rPr>
        <w:t xml:space="preserve"> … </w:t>
      </w:r>
      <w:r w:rsidR="00CB46C0" w:rsidRPr="00CB46C0">
        <w:rPr>
          <w:rFonts w:ascii="Cambria" w:hAnsi="Cambria" w:cs="Times New Roman"/>
          <w:i/>
          <w:iCs/>
        </w:rPr>
        <w:t>is bearing fruit and increasin</w:t>
      </w:r>
      <w:r w:rsidR="00CB46C0">
        <w:rPr>
          <w:rFonts w:ascii="Cambria" w:hAnsi="Cambria" w:cs="Times New Roman"/>
          <w:i/>
          <w:iCs/>
        </w:rPr>
        <w:t xml:space="preserve">g in the entire </w:t>
      </w:r>
      <w:r w:rsidR="000B3AB8">
        <w:rPr>
          <w:rFonts w:ascii="Cambria" w:hAnsi="Cambria" w:cs="Times New Roman"/>
          <w:i/>
          <w:iCs/>
        </w:rPr>
        <w:t>world</w:t>
      </w:r>
      <w:r w:rsidR="00CB46C0">
        <w:rPr>
          <w:rFonts w:ascii="Cambria" w:hAnsi="Cambria" w:cs="Times New Roman"/>
          <w:iCs/>
        </w:rPr>
        <w:t xml:space="preserve"> (</w:t>
      </w:r>
      <w:r w:rsidR="00CB46C0">
        <w:rPr>
          <w:rFonts w:ascii="Gentium Plus" w:hAnsi="Gentium Plus" w:cs="Times New Roman"/>
          <w:iCs/>
          <w:lang w:val="el-GR"/>
        </w:rPr>
        <w:t>ἐν παντὶ τῷ</w:t>
      </w:r>
      <w:r w:rsidR="000B3AB8">
        <w:rPr>
          <w:rFonts w:ascii="Gentium Plus" w:hAnsi="Gentium Plus" w:cs="Times New Roman"/>
          <w:iCs/>
          <w:lang w:val="el-GR"/>
        </w:rPr>
        <w:t xml:space="preserve"> κόσμῳ</w:t>
      </w:r>
      <w:r w:rsidR="00CB46C0">
        <w:rPr>
          <w:rFonts w:ascii="Gentium Plus" w:hAnsi="Gentium Plus" w:cs="Times New Roman"/>
          <w:iCs/>
          <w:lang w:val="el-GR"/>
        </w:rPr>
        <w:t xml:space="preserve"> ἐστὶν καρποφορούμενον καὶ αὐξανόμενον</w:t>
      </w:r>
      <w:r w:rsidR="00CB46C0">
        <w:rPr>
          <w:rFonts w:ascii="Cambria" w:hAnsi="Cambria" w:cs="Times New Roman"/>
          <w:iCs/>
        </w:rPr>
        <w:t xml:space="preserve">)” (1:5b-6a; cf. </w:t>
      </w:r>
      <w:r w:rsidR="00323776">
        <w:rPr>
          <w:rFonts w:ascii="Gentium Plus" w:hAnsi="Gentium Plus" w:cs="Times New Roman"/>
          <w:iCs/>
          <w:lang w:val="el-GR"/>
        </w:rPr>
        <w:t>ἐν παντὶ ἔργῳ ἀγαθῷ καρποφοροῦντες καὶ αὐξανόμενοι τῇ ἐπιγνώσει τοῦ θεοῦ</w:t>
      </w:r>
      <w:r w:rsidR="00323776">
        <w:rPr>
          <w:rFonts w:ascii="Cambria" w:hAnsi="Cambria" w:cs="Times New Roman"/>
          <w:iCs/>
        </w:rPr>
        <w:t>,</w:t>
      </w:r>
      <w:r w:rsidR="00323776">
        <w:rPr>
          <w:rFonts w:ascii="Gentium Plus" w:hAnsi="Gentium Plus" w:cs="Times New Roman"/>
          <w:iCs/>
          <w:lang w:val="el-GR"/>
        </w:rPr>
        <w:t xml:space="preserve"> </w:t>
      </w:r>
      <w:r w:rsidR="00CB46C0">
        <w:rPr>
          <w:rFonts w:ascii="Cambria" w:hAnsi="Cambria" w:cs="Times New Roman"/>
          <w:iCs/>
        </w:rPr>
        <w:t>1:10b; Gen. 1:28).</w:t>
      </w:r>
      <w:r w:rsidR="000B3AB8" w:rsidRPr="000B3AB8">
        <w:rPr>
          <w:rStyle w:val="FootnoteReference"/>
          <w:rFonts w:ascii="Cambria" w:hAnsi="Cambria" w:cs="Times New Roman"/>
        </w:rPr>
        <w:t xml:space="preserve"> </w:t>
      </w:r>
      <w:r w:rsidR="000B3AB8">
        <w:rPr>
          <w:rStyle w:val="FootnoteReference"/>
          <w:rFonts w:ascii="Cambria" w:hAnsi="Cambria" w:cs="Times New Roman"/>
        </w:rPr>
        <w:footnoteReference w:id="146"/>
      </w:r>
      <w:r w:rsidR="000B3AB8">
        <w:rPr>
          <w:rFonts w:ascii="Cambria" w:hAnsi="Cambria" w:cs="Times New Roman"/>
        </w:rPr>
        <w:t xml:space="preserve"> </w:t>
      </w:r>
      <w:r w:rsidR="00CB46C0">
        <w:rPr>
          <w:rFonts w:ascii="Cambria" w:hAnsi="Cambria" w:cs="Times New Roman"/>
          <w:iCs/>
        </w:rPr>
        <w:t xml:space="preserve"> </w:t>
      </w:r>
      <w:r w:rsidR="000B3AB8">
        <w:rPr>
          <w:rFonts w:ascii="Cambria" w:hAnsi="Cambria" w:cs="Times New Roman"/>
          <w:iCs/>
        </w:rPr>
        <w:t>Thus, the fertile increase and abundant growth of the gospel extend throughout the entire world as a result of Christ’s orderly reign</w:t>
      </w:r>
      <w:r w:rsidR="00323776">
        <w:rPr>
          <w:rFonts w:ascii="Cambria" w:hAnsi="Cambria" w:cs="Times New Roman"/>
          <w:iCs/>
        </w:rPr>
        <w:t xml:space="preserve"> (1:6).</w:t>
      </w:r>
      <w:r w:rsidR="00323776">
        <w:rPr>
          <w:rStyle w:val="FootnoteReference"/>
          <w:rFonts w:ascii="Cambria" w:hAnsi="Cambria" w:cs="Times New Roman"/>
          <w:iCs/>
        </w:rPr>
        <w:footnoteReference w:id="147"/>
      </w:r>
      <w:r w:rsidR="00323776">
        <w:rPr>
          <w:rFonts w:ascii="Cambria" w:hAnsi="Cambria" w:cs="Times New Roman"/>
          <w:iCs/>
        </w:rPr>
        <w:t xml:space="preserve"> </w:t>
      </w:r>
    </w:p>
    <w:p w14:paraId="0D58A74F" w14:textId="22838CA9" w:rsidR="006F6C00" w:rsidRDefault="006F6C00" w:rsidP="006F6C00">
      <w:pPr>
        <w:pStyle w:val="ListParagraph"/>
        <w:numPr>
          <w:ilvl w:val="0"/>
          <w:numId w:val="1"/>
        </w:numPr>
        <w:spacing w:line="480" w:lineRule="auto"/>
        <w:jc w:val="center"/>
        <w:rPr>
          <w:bCs/>
          <w:i/>
          <w:u w:val="single"/>
        </w:rPr>
      </w:pPr>
      <w:r w:rsidRPr="006C6E9A">
        <w:rPr>
          <w:bCs/>
          <w:i/>
          <w:u w:val="single"/>
        </w:rPr>
        <w:t xml:space="preserve">Christ the King </w:t>
      </w:r>
      <w:r w:rsidR="00BE7138">
        <w:rPr>
          <w:bCs/>
          <w:i/>
          <w:u w:val="single"/>
        </w:rPr>
        <w:t>Rules over his People and Establishes Cosmic</w:t>
      </w:r>
      <w:r w:rsidRPr="006C6E9A">
        <w:rPr>
          <w:bCs/>
          <w:i/>
          <w:u w:val="single"/>
        </w:rPr>
        <w:t xml:space="preserve"> </w:t>
      </w:r>
      <w:r w:rsidR="00BE7138">
        <w:rPr>
          <w:bCs/>
          <w:i/>
          <w:u w:val="single"/>
        </w:rPr>
        <w:t>Peace</w:t>
      </w:r>
    </w:p>
    <w:p w14:paraId="49D1E7D0" w14:textId="7383987F" w:rsidR="00BE7138" w:rsidRPr="00BE7138" w:rsidRDefault="00BE7138" w:rsidP="00BE7138">
      <w:pPr>
        <w:pStyle w:val="ListParagraph"/>
        <w:spacing w:line="480" w:lineRule="auto"/>
        <w:jc w:val="center"/>
        <w:rPr>
          <w:bCs/>
          <w:i/>
        </w:rPr>
      </w:pPr>
      <w:r>
        <w:rPr>
          <w:bCs/>
          <w:i/>
        </w:rPr>
        <w:t>“he is the h</w:t>
      </w:r>
      <w:r w:rsidR="00F14A05">
        <w:rPr>
          <w:bCs/>
          <w:i/>
        </w:rPr>
        <w:t>ead of the body of the assembly</w:t>
      </w:r>
      <w:r w:rsidR="00791782">
        <w:rPr>
          <w:bCs/>
          <w:i/>
        </w:rPr>
        <w:t>” (1:18a)</w:t>
      </w:r>
    </w:p>
    <w:p w14:paraId="6AA9172E" w14:textId="6F6C0C45" w:rsidR="005F0D96" w:rsidRDefault="005D263A" w:rsidP="00FA704B">
      <w:pPr>
        <w:spacing w:line="480" w:lineRule="auto"/>
        <w:ind w:firstLine="720"/>
        <w:jc w:val="both"/>
        <w:rPr>
          <w:bCs/>
        </w:rPr>
      </w:pPr>
      <w:r>
        <w:rPr>
          <w:bCs/>
        </w:rPr>
        <w:t>Paul’s statement that Christ “is the head of the body – the assembly (</w:t>
      </w:r>
      <w:r>
        <w:rPr>
          <w:rFonts w:ascii="Gentium Plus" w:hAnsi="Gentium Plus"/>
          <w:bCs/>
          <w:lang w:val="el-GR"/>
        </w:rPr>
        <w:t>αὐτός ἐστιν ἡ κεφαλὴ τοῦ σώματος τῆς ἐκκλησίας</w:t>
      </w:r>
      <w:r>
        <w:rPr>
          <w:bCs/>
        </w:rPr>
        <w:t>, 1:18a)” portrays Christ as the heavenly enthroned ruler over his body politick much as Caesar was spoken of as the head of the empire.  Paul’s use of</w:t>
      </w:r>
      <w:r w:rsidRPr="005D263A">
        <w:rPr>
          <w:rFonts w:ascii="Gentium Plus" w:hAnsi="Gentium Plus"/>
          <w:bCs/>
          <w:lang w:val="el-GR"/>
        </w:rPr>
        <w:t xml:space="preserve"> </w:t>
      </w:r>
      <w:r>
        <w:rPr>
          <w:rFonts w:ascii="Gentium Plus" w:hAnsi="Gentium Plus"/>
          <w:bCs/>
          <w:lang w:val="el-GR"/>
        </w:rPr>
        <w:t>ἡ κεφαλή</w:t>
      </w:r>
      <w:r>
        <w:rPr>
          <w:bCs/>
        </w:rPr>
        <w:t xml:space="preserve"> has spawned an enormous amount of literature,</w:t>
      </w:r>
      <w:r w:rsidR="005F1F28">
        <w:rPr>
          <w:bCs/>
        </w:rPr>
        <w:t xml:space="preserve"> with some seeing connotations of authority and pre-eminence and others connotations of source and origin,</w:t>
      </w:r>
      <w:r>
        <w:rPr>
          <w:bCs/>
        </w:rPr>
        <w:t xml:space="preserve"> but for my purposes it is enough to demonstrate how the metaphor of “the head” can be, and here is</w:t>
      </w:r>
      <w:r w:rsidR="00FA704B">
        <w:rPr>
          <w:bCs/>
        </w:rPr>
        <w:t>,</w:t>
      </w:r>
      <w:r>
        <w:rPr>
          <w:bCs/>
        </w:rPr>
        <w:t xml:space="preserve"> language that stresses Christ’s regal authority over his assembly.</w:t>
      </w:r>
      <w:r>
        <w:rPr>
          <w:rStyle w:val="FootnoteReference"/>
          <w:bCs/>
        </w:rPr>
        <w:footnoteReference w:id="148"/>
      </w:r>
      <w:r>
        <w:rPr>
          <w:bCs/>
        </w:rPr>
        <w:t xml:space="preserve">  </w:t>
      </w:r>
      <w:r w:rsidR="005F0D96">
        <w:rPr>
          <w:bCs/>
        </w:rPr>
        <w:t>And this should not be an entirely surprising claim given Greco-Roman moralists and orators consistently refer to the commonwealth or</w:t>
      </w:r>
      <w:r w:rsidR="00D3019F">
        <w:rPr>
          <w:bCs/>
        </w:rPr>
        <w:t xml:space="preserve"> the empire as the body or body-</w:t>
      </w:r>
      <w:r w:rsidR="005F0D96">
        <w:rPr>
          <w:bCs/>
        </w:rPr>
        <w:t>politick.</w:t>
      </w:r>
      <w:r w:rsidR="005F0D96">
        <w:rPr>
          <w:rStyle w:val="FootnoteReference"/>
          <w:bCs/>
        </w:rPr>
        <w:footnoteReference w:id="149"/>
      </w:r>
    </w:p>
    <w:p w14:paraId="11962504" w14:textId="67BC6228" w:rsidR="009F262B" w:rsidRDefault="005D263A" w:rsidP="00FA704B">
      <w:pPr>
        <w:spacing w:line="480" w:lineRule="auto"/>
        <w:ind w:firstLine="720"/>
        <w:jc w:val="both"/>
        <w:rPr>
          <w:bCs/>
        </w:rPr>
      </w:pPr>
      <w:r>
        <w:rPr>
          <w:bCs/>
        </w:rPr>
        <w:t xml:space="preserve">First, though I have emphasized this point repeatedly, it is </w:t>
      </w:r>
      <w:r w:rsidR="00FA704B">
        <w:rPr>
          <w:bCs/>
        </w:rPr>
        <w:t>incumbent upon the interpreter</w:t>
      </w:r>
      <w:r w:rsidR="005F1F28">
        <w:rPr>
          <w:bCs/>
        </w:rPr>
        <w:t xml:space="preserve"> to read </w:t>
      </w:r>
      <w:r>
        <w:rPr>
          <w:bCs/>
        </w:rPr>
        <w:t xml:space="preserve">Paul’s metaphor within its own literary context before turning to </w:t>
      </w:r>
      <w:r w:rsidR="005F1F28">
        <w:rPr>
          <w:bCs/>
        </w:rPr>
        <w:t>other</w:t>
      </w:r>
      <w:r>
        <w:rPr>
          <w:bCs/>
        </w:rPr>
        <w:t xml:space="preserve"> sources, and</w:t>
      </w:r>
      <w:r w:rsidR="005F1F28">
        <w:rPr>
          <w:bCs/>
        </w:rPr>
        <w:t>,</w:t>
      </w:r>
      <w:r>
        <w:rPr>
          <w:bCs/>
        </w:rPr>
        <w:t xml:space="preserve"> as we have seen</w:t>
      </w:r>
      <w:r w:rsidR="005F1F28">
        <w:rPr>
          <w:bCs/>
        </w:rPr>
        <w:t>,</w:t>
      </w:r>
      <w:r>
        <w:rPr>
          <w:bCs/>
        </w:rPr>
        <w:t xml:space="preserve"> that context is one replete with messianic, </w:t>
      </w:r>
      <w:r w:rsidR="00FA704B">
        <w:rPr>
          <w:bCs/>
        </w:rPr>
        <w:t>kingly</w:t>
      </w:r>
      <w:r>
        <w:rPr>
          <w:bCs/>
        </w:rPr>
        <w:t xml:space="preserve"> metaphors: divine son-ship</w:t>
      </w:r>
      <w:r w:rsidR="00113A13">
        <w:rPr>
          <w:bCs/>
        </w:rPr>
        <w:t xml:space="preserve"> (1:13)</w:t>
      </w:r>
      <w:r>
        <w:rPr>
          <w:bCs/>
        </w:rPr>
        <w:t xml:space="preserve">, </w:t>
      </w:r>
      <w:r w:rsidR="00113A13">
        <w:rPr>
          <w:bCs/>
        </w:rPr>
        <w:t>the image of God (1:15a), the firstborn over all creation (v. 15b), and so forth.</w:t>
      </w:r>
      <w:r w:rsidR="00681E53">
        <w:rPr>
          <w:rStyle w:val="FootnoteReference"/>
          <w:bCs/>
        </w:rPr>
        <w:footnoteReference w:id="150"/>
      </w:r>
      <w:r w:rsidR="00113A13">
        <w:rPr>
          <w:bCs/>
        </w:rPr>
        <w:t xml:space="preserve"> </w:t>
      </w:r>
      <w:r w:rsidR="005F1F28">
        <w:rPr>
          <w:bCs/>
        </w:rPr>
        <w:t xml:space="preserve"> Second, the regal nature of the metaphor cannot be doubted in the parallel Eph. 1:20-23 where Paul refers to Christ as “head over all things with respect to the church” (</w:t>
      </w:r>
      <w:r w:rsidR="005F1F28">
        <w:rPr>
          <w:rFonts w:ascii="Gentium Plus" w:hAnsi="Gentium Plus"/>
          <w:bCs/>
          <w:lang w:val="el-GR"/>
        </w:rPr>
        <w:t>κεφαλὴν ὑπὲρ πάντα τῇ ἐκκλησίᾳ</w:t>
      </w:r>
      <w:r w:rsidR="005F1F28">
        <w:rPr>
          <w:bCs/>
        </w:rPr>
        <w:t>, 1:22b).  Here the context is one where God</w:t>
      </w:r>
      <w:r w:rsidR="00437882">
        <w:rPr>
          <w:bCs/>
        </w:rPr>
        <w:t>, through ra</w:t>
      </w:r>
      <w:r w:rsidR="004D28B2">
        <w:rPr>
          <w:bCs/>
        </w:rPr>
        <w:t xml:space="preserve">ising the Messiah from the dead and “seating him </w:t>
      </w:r>
      <w:r w:rsidR="00FA704B">
        <w:rPr>
          <w:bCs/>
        </w:rPr>
        <w:t>at</w:t>
      </w:r>
      <w:r w:rsidR="004D28B2">
        <w:rPr>
          <w:bCs/>
        </w:rPr>
        <w:t xml:space="preserve"> his right hand in the heavenly realm” (</w:t>
      </w:r>
      <w:r w:rsidR="004D28B2">
        <w:rPr>
          <w:rFonts w:ascii="Gentium Plus" w:hAnsi="Gentium Plus"/>
          <w:bCs/>
          <w:lang w:val="el-GR"/>
        </w:rPr>
        <w:t>καθίσας ἐν δεξιᾷ αὐτοῦ ἐν τοῖς ἐπουρανίοις</w:t>
      </w:r>
      <w:r w:rsidR="004D28B2">
        <w:rPr>
          <w:bCs/>
        </w:rPr>
        <w:t>, 1:20; cf. LXX Ps. 109:1),</w:t>
      </w:r>
      <w:r w:rsidR="005F1F28">
        <w:rPr>
          <w:bCs/>
        </w:rPr>
        <w:t xml:space="preserve"> </w:t>
      </w:r>
      <w:r w:rsidR="004D28B2">
        <w:rPr>
          <w:bCs/>
        </w:rPr>
        <w:t>places</w:t>
      </w:r>
      <w:r w:rsidR="005F1F28">
        <w:rPr>
          <w:bCs/>
        </w:rPr>
        <w:t xml:space="preserve"> Christ “above every rule, authority, power, and lord” (</w:t>
      </w:r>
      <w:r w:rsidR="00437882">
        <w:rPr>
          <w:rFonts w:ascii="Gentium Plus" w:hAnsi="Gentium Plus"/>
          <w:bCs/>
          <w:lang w:val="el-GR"/>
        </w:rPr>
        <w:t>ὑπεράνω πάσης ἀρχῆς καὶ ἐξουσίας καὶ δυνάμεως καὶ κυριότητος</w:t>
      </w:r>
      <w:r w:rsidR="00FA704B">
        <w:rPr>
          <w:bCs/>
        </w:rPr>
        <w:t xml:space="preserve">, 1:21a). </w:t>
      </w:r>
      <w:r w:rsidR="004D28B2">
        <w:rPr>
          <w:bCs/>
        </w:rPr>
        <w:t xml:space="preserve">Through </w:t>
      </w:r>
      <w:r w:rsidR="00FA704B">
        <w:rPr>
          <w:bCs/>
        </w:rPr>
        <w:t>his</w:t>
      </w:r>
      <w:r w:rsidR="004D28B2">
        <w:rPr>
          <w:bCs/>
        </w:rPr>
        <w:t xml:space="preserve"> </w:t>
      </w:r>
      <w:r w:rsidR="00FA704B">
        <w:rPr>
          <w:bCs/>
        </w:rPr>
        <w:t>royal</w:t>
      </w:r>
      <w:r w:rsidR="004D28B2">
        <w:rPr>
          <w:bCs/>
        </w:rPr>
        <w:t xml:space="preserve"> enthronement of the Messiah, </w:t>
      </w:r>
      <w:r w:rsidR="00FA704B">
        <w:rPr>
          <w:bCs/>
        </w:rPr>
        <w:t>God</w:t>
      </w:r>
      <w:r w:rsidR="004D28B2">
        <w:rPr>
          <w:bCs/>
        </w:rPr>
        <w:t xml:space="preserve"> </w:t>
      </w:r>
      <w:r w:rsidR="005F1F28">
        <w:rPr>
          <w:bCs/>
        </w:rPr>
        <w:t>“has placed all things underneath his feet” (</w:t>
      </w:r>
      <w:r w:rsidR="005F1F28">
        <w:rPr>
          <w:rFonts w:ascii="Gentium Plus" w:hAnsi="Gentium Plus"/>
          <w:bCs/>
          <w:lang w:val="el-GR"/>
        </w:rPr>
        <w:t>πάντα ὑπέταξεν ὑπὸ τοὺς πόδας αὐτοῦ</w:t>
      </w:r>
      <w:r w:rsidR="00437882">
        <w:rPr>
          <w:bCs/>
        </w:rPr>
        <w:t>, 1:22a</w:t>
      </w:r>
      <w:r w:rsidR="004D28B2">
        <w:rPr>
          <w:bCs/>
        </w:rPr>
        <w:t>; cf. LXX Ps. 8:7</w:t>
      </w:r>
      <w:r w:rsidR="005F1F28">
        <w:rPr>
          <w:bCs/>
        </w:rPr>
        <w:t>).</w:t>
      </w:r>
      <w:r w:rsidR="00437882">
        <w:rPr>
          <w:rStyle w:val="FootnoteReference"/>
          <w:bCs/>
        </w:rPr>
        <w:footnoteReference w:id="151"/>
      </w:r>
      <w:r w:rsidR="004D28B2">
        <w:rPr>
          <w:bCs/>
        </w:rPr>
        <w:t xml:space="preserve"> Paul’s reliance u</w:t>
      </w:r>
      <w:r w:rsidR="00FA704B">
        <w:rPr>
          <w:bCs/>
        </w:rPr>
        <w:t>pon the language of the royal P</w:t>
      </w:r>
      <w:r w:rsidR="004D28B2">
        <w:rPr>
          <w:bCs/>
        </w:rPr>
        <w:t>s. 8 and</w:t>
      </w:r>
      <w:r w:rsidR="00FA704B">
        <w:rPr>
          <w:bCs/>
        </w:rPr>
        <w:t xml:space="preserve"> Ps.</w:t>
      </w:r>
      <w:r w:rsidR="004D28B2">
        <w:rPr>
          <w:bCs/>
        </w:rPr>
        <w:t xml:space="preserve"> 109 to speak of Christ as the heavenly </w:t>
      </w:r>
      <w:r w:rsidR="004D28B2">
        <w:rPr>
          <w:rFonts w:ascii="Gentium Plus" w:hAnsi="Gentium Plus"/>
          <w:bCs/>
          <w:lang w:val="el-GR"/>
        </w:rPr>
        <w:t>κεφαλή</w:t>
      </w:r>
      <w:r w:rsidR="004D28B2">
        <w:rPr>
          <w:bCs/>
        </w:rPr>
        <w:t xml:space="preserve"> makes it obvious that the metaphor stresses the</w:t>
      </w:r>
      <w:r w:rsidR="00FA704B">
        <w:rPr>
          <w:bCs/>
        </w:rPr>
        <w:t xml:space="preserve"> King’s authority</w:t>
      </w:r>
      <w:r w:rsidR="004D28B2">
        <w:rPr>
          <w:bCs/>
        </w:rPr>
        <w:t xml:space="preserve"> and rule over his body politick.</w:t>
      </w:r>
      <w:r w:rsidR="00437882">
        <w:rPr>
          <w:rStyle w:val="FootnoteReference"/>
          <w:bCs/>
        </w:rPr>
        <w:footnoteReference w:id="152"/>
      </w:r>
      <w:r w:rsidR="00F4102C">
        <w:rPr>
          <w:bCs/>
        </w:rPr>
        <w:t xml:space="preserve"> The same is true for the metaphor in 2:10 where Paul speaks again of Christ as “the head over every rule and authority” (</w:t>
      </w:r>
      <w:r w:rsidR="00F4102C">
        <w:rPr>
          <w:rFonts w:ascii="Gentium Plus" w:hAnsi="Gentium Plus"/>
          <w:bCs/>
          <w:lang w:val="el-GR"/>
        </w:rPr>
        <w:t>ἡ κεφαλὴ πάσης ἀρχῆς καὶ ἐξουσίας</w:t>
      </w:r>
      <w:r w:rsidR="00F4102C">
        <w:rPr>
          <w:bCs/>
        </w:rPr>
        <w:t>) in a context that emphasizes these rulers’ subjection to Christ and those in Christ.</w:t>
      </w:r>
      <w:r w:rsidR="00F4102C">
        <w:rPr>
          <w:rStyle w:val="FootnoteReference"/>
          <w:bCs/>
        </w:rPr>
        <w:footnoteReference w:id="153"/>
      </w:r>
    </w:p>
    <w:p w14:paraId="402260C5" w14:textId="0AFF3200" w:rsidR="00372E63" w:rsidRDefault="00372E63" w:rsidP="00345D06">
      <w:pPr>
        <w:spacing w:line="480" w:lineRule="auto"/>
        <w:jc w:val="both"/>
        <w:rPr>
          <w:bCs/>
        </w:rPr>
      </w:pPr>
      <w:r>
        <w:rPr>
          <w:bCs/>
        </w:rPr>
        <w:tab/>
        <w:t>Third</w:t>
      </w:r>
      <w:r w:rsidR="008C3C69">
        <w:rPr>
          <w:bCs/>
        </w:rPr>
        <w:t>, though the Hebrew term for</w:t>
      </w:r>
      <w:r>
        <w:rPr>
          <w:bCs/>
        </w:rPr>
        <w:t xml:space="preserve"> “ruler” (</w:t>
      </w:r>
      <w:r>
        <w:rPr>
          <w:rFonts w:ascii="Hebpar" w:hAnsi="Hebpar"/>
          <w:bCs/>
        </w:rPr>
        <w:t>var</w:t>
      </w:r>
      <w:r>
        <w:rPr>
          <w:bCs/>
        </w:rPr>
        <w:t xml:space="preserve">) is not </w:t>
      </w:r>
      <w:r w:rsidRPr="00FA704B">
        <w:rPr>
          <w:bCs/>
          <w:i/>
        </w:rPr>
        <w:t>usually</w:t>
      </w:r>
      <w:r>
        <w:rPr>
          <w:bCs/>
        </w:rPr>
        <w:t xml:space="preserve"> rendered by the Septuagint translators as </w:t>
      </w:r>
      <w:r>
        <w:rPr>
          <w:rFonts w:ascii="Gentium Plus" w:hAnsi="Gentium Plus"/>
          <w:bCs/>
          <w:lang w:val="el-GR"/>
        </w:rPr>
        <w:t>κεφαλή</w:t>
      </w:r>
      <w:r>
        <w:rPr>
          <w:rFonts w:ascii="Cambria" w:hAnsi="Cambria"/>
          <w:bCs/>
          <w:lang w:val="el-GR"/>
        </w:rPr>
        <w:t>,</w:t>
      </w:r>
      <w:r>
        <w:rPr>
          <w:bCs/>
        </w:rPr>
        <w:t xml:space="preserve"> there are plenty of instances where its occurrence does have royal, pre-eminent connotations.</w:t>
      </w:r>
      <w:r w:rsidR="00E07583">
        <w:rPr>
          <w:rStyle w:val="FootnoteReference"/>
          <w:bCs/>
        </w:rPr>
        <w:footnoteReference w:id="154"/>
      </w:r>
      <w:r w:rsidR="00FA704B">
        <w:rPr>
          <w:bCs/>
        </w:rPr>
        <w:t xml:space="preserve">  Most important is</w:t>
      </w:r>
      <w:r>
        <w:rPr>
          <w:bCs/>
        </w:rPr>
        <w:t xml:space="preserve"> David’s hymn </w:t>
      </w:r>
      <w:r w:rsidR="00FA704B">
        <w:rPr>
          <w:bCs/>
        </w:rPr>
        <w:t>where he celebrates</w:t>
      </w:r>
      <w:r>
        <w:rPr>
          <w:bCs/>
        </w:rPr>
        <w:t xml:space="preserve"> God’s </w:t>
      </w:r>
      <w:r w:rsidR="008D6B54">
        <w:rPr>
          <w:bCs/>
        </w:rPr>
        <w:t>“salvation for his king and steadfast love for his anointed” (</w:t>
      </w:r>
      <w:r w:rsidR="008D6B54">
        <w:rPr>
          <w:rFonts w:ascii="Gentium Plus" w:hAnsi="Gentium Plus"/>
          <w:bCs/>
          <w:lang w:val="el-GR"/>
        </w:rPr>
        <w:t>μεγαλύνων σωτηρίας βασιλέως αὐτοῦ καὶ ποῖων ἔλος τῷ χριστῷ αὐτοῦ</w:t>
      </w:r>
      <w:r w:rsidR="008D6B54">
        <w:rPr>
          <w:bCs/>
        </w:rPr>
        <w:t>, LXX 2 Sam. 22:51a)</w:t>
      </w:r>
      <w:r w:rsidR="00FA704B">
        <w:rPr>
          <w:bCs/>
        </w:rPr>
        <w:t>;</w:t>
      </w:r>
      <w:r>
        <w:rPr>
          <w:bCs/>
        </w:rPr>
        <w:t xml:space="preserve"> David sings: “you kept me as the head of the nations</w:t>
      </w:r>
      <w:r w:rsidR="008D6B54">
        <w:rPr>
          <w:bCs/>
        </w:rPr>
        <w:t xml:space="preserve"> (</w:t>
      </w:r>
      <w:r w:rsidR="008D6B54">
        <w:rPr>
          <w:rFonts w:ascii="Gentium Plus" w:hAnsi="Gentium Plus"/>
          <w:bCs/>
          <w:lang w:val="el-GR"/>
        </w:rPr>
        <w:t>φυλάξεις με εἰς κεφαλὴν ἐθνῶν</w:t>
      </w:r>
      <w:r w:rsidR="008D6B54">
        <w:rPr>
          <w:bCs/>
        </w:rPr>
        <w:t>)</w:t>
      </w:r>
      <w:r>
        <w:rPr>
          <w:bCs/>
        </w:rPr>
        <w:t>; people whom I had n</w:t>
      </w:r>
      <w:r w:rsidR="008D6B54">
        <w:rPr>
          <w:bCs/>
        </w:rPr>
        <w:t>ot known served me” (</w:t>
      </w:r>
      <w:r>
        <w:rPr>
          <w:bCs/>
        </w:rPr>
        <w:t>22:44).</w:t>
      </w:r>
      <w:r w:rsidR="008D6B54">
        <w:rPr>
          <w:bCs/>
        </w:rPr>
        <w:t xml:space="preserve"> </w:t>
      </w:r>
      <w:r w:rsidR="00E07583">
        <w:rPr>
          <w:bCs/>
        </w:rPr>
        <w:t xml:space="preserve"> </w:t>
      </w:r>
      <w:r w:rsidR="00FA704B">
        <w:rPr>
          <w:bCs/>
        </w:rPr>
        <w:t xml:space="preserve">Similarly, </w:t>
      </w:r>
      <w:r w:rsidR="00E07583">
        <w:rPr>
          <w:bCs/>
        </w:rPr>
        <w:t xml:space="preserve">Philo </w:t>
      </w:r>
      <w:r w:rsidR="00FA704B">
        <w:rPr>
          <w:bCs/>
        </w:rPr>
        <w:t xml:space="preserve">says </w:t>
      </w:r>
      <w:r w:rsidR="00E07583">
        <w:rPr>
          <w:bCs/>
        </w:rPr>
        <w:t>o</w:t>
      </w:r>
      <w:r w:rsidR="00FA704B">
        <w:rPr>
          <w:bCs/>
        </w:rPr>
        <w:t>f</w:t>
      </w:r>
      <w:r w:rsidR="00E07583">
        <w:rPr>
          <w:bCs/>
        </w:rPr>
        <w:t xml:space="preserve"> Ptolemy II Philadelphus</w:t>
      </w:r>
      <w:r w:rsidR="00FA704B">
        <w:rPr>
          <w:bCs/>
        </w:rPr>
        <w:t xml:space="preserve"> that</w:t>
      </w:r>
      <w:r w:rsidR="00E07583">
        <w:rPr>
          <w:bCs/>
        </w:rPr>
        <w:t xml:space="preserve"> “as t</w:t>
      </w:r>
      <w:r w:rsidR="00FA704B">
        <w:rPr>
          <w:bCs/>
        </w:rPr>
        <w:t>he head takes the ruling part in a living body, so [the king]</w:t>
      </w:r>
      <w:r w:rsidR="00E07583">
        <w:rPr>
          <w:bCs/>
        </w:rPr>
        <w:t xml:space="preserve"> may be said to be head over the kings” (</w:t>
      </w:r>
      <w:r w:rsidR="00E07583">
        <w:rPr>
          <w:rFonts w:ascii="Gentium Plus" w:hAnsi="Gentium Plus"/>
          <w:bCs/>
          <w:lang w:val="el-GR"/>
        </w:rPr>
        <w:t>ἐν ζῴῳ τὸ ἡγεμονεῦον κεφαλὴ τρόπον τινὰ τῶν βασιλέων</w:t>
      </w:r>
      <w:r w:rsidR="00E07583">
        <w:rPr>
          <w:bCs/>
        </w:rPr>
        <w:t xml:space="preserve">, </w:t>
      </w:r>
      <w:r w:rsidR="00E07583">
        <w:rPr>
          <w:bCs/>
          <w:i/>
        </w:rPr>
        <w:t>Life of Moses</w:t>
      </w:r>
      <w:r w:rsidR="00E07583">
        <w:rPr>
          <w:bCs/>
        </w:rPr>
        <w:t xml:space="preserve"> II.30).</w:t>
      </w:r>
    </w:p>
    <w:p w14:paraId="749CF110" w14:textId="2D220EE0" w:rsidR="000A7523" w:rsidRDefault="000A7523" w:rsidP="00345D06">
      <w:pPr>
        <w:spacing w:line="480" w:lineRule="auto"/>
        <w:jc w:val="both"/>
        <w:rPr>
          <w:bCs/>
        </w:rPr>
      </w:pPr>
      <w:r>
        <w:rPr>
          <w:bCs/>
        </w:rPr>
        <w:tab/>
        <w:t>Fourth, Paul’s statement finds an obvious parallel with imperial panegyrists who exal</w:t>
      </w:r>
      <w:r w:rsidR="00C47A2F">
        <w:rPr>
          <w:bCs/>
        </w:rPr>
        <w:t>t Caesar as head and ruler of his imperial body.</w:t>
      </w:r>
      <w:r w:rsidR="005D2ABA">
        <w:rPr>
          <w:rStyle w:val="FootnoteReference"/>
          <w:bCs/>
        </w:rPr>
        <w:footnoteReference w:id="155"/>
      </w:r>
      <w:r w:rsidR="00C47A2F">
        <w:rPr>
          <w:bCs/>
        </w:rPr>
        <w:t xml:space="preserve">  </w:t>
      </w:r>
      <w:r>
        <w:rPr>
          <w:bCs/>
        </w:rPr>
        <w:t xml:space="preserve">In his </w:t>
      </w:r>
      <w:r w:rsidRPr="000A7523">
        <w:rPr>
          <w:bCs/>
          <w:i/>
          <w:iCs/>
        </w:rPr>
        <w:t>De Clementia</w:t>
      </w:r>
      <w:r>
        <w:rPr>
          <w:bCs/>
        </w:rPr>
        <w:t xml:space="preserve">, Seneca </w:t>
      </w:r>
      <w:r w:rsidR="007C6374">
        <w:rPr>
          <w:bCs/>
        </w:rPr>
        <w:t>repeatedly refers to the young Nero as the “head” and “mind” over the body of the empire</w:t>
      </w:r>
      <w:r w:rsidR="000557D8">
        <w:rPr>
          <w:bCs/>
        </w:rPr>
        <w:t xml:space="preserve"> and as the one who </w:t>
      </w:r>
      <w:r w:rsidR="00C47A2F">
        <w:rPr>
          <w:bCs/>
        </w:rPr>
        <w:t xml:space="preserve">stabilizes the empire and </w:t>
      </w:r>
      <w:r w:rsidR="000557D8">
        <w:rPr>
          <w:bCs/>
        </w:rPr>
        <w:t>unites his people together</w:t>
      </w:r>
      <w:r w:rsidR="007C6374">
        <w:rPr>
          <w:bCs/>
        </w:rPr>
        <w:t>: “</w:t>
      </w:r>
      <w:r w:rsidR="00C47A2F">
        <w:rPr>
          <w:bCs/>
        </w:rPr>
        <w:t>the whole body (</w:t>
      </w:r>
      <w:r w:rsidR="00C47A2F" w:rsidRPr="00C47A2F">
        <w:rPr>
          <w:bCs/>
          <w:i/>
        </w:rPr>
        <w:t>corpus</w:t>
      </w:r>
      <w:r w:rsidR="00C47A2F">
        <w:rPr>
          <w:bCs/>
        </w:rPr>
        <w:t>) is the servant of the mind” and “</w:t>
      </w:r>
      <w:r w:rsidR="007C6374" w:rsidRPr="00C47A2F">
        <w:rPr>
          <w:bCs/>
        </w:rPr>
        <w:t>the</w:t>
      </w:r>
      <w:r w:rsidR="007C6374">
        <w:rPr>
          <w:bCs/>
        </w:rPr>
        <w:t xml:space="preserve"> vast multitude of men surrounds one man as though he were its mind, ruled by his spirit, guided by his reason” (1.3.5);</w:t>
      </w:r>
      <w:r w:rsidR="00C47A2F">
        <w:rPr>
          <w:bCs/>
        </w:rPr>
        <w:t xml:space="preserve"> the emperor is “the bond by which the commonwealth is united, the breath of life which these many thousands draw,” for</w:t>
      </w:r>
      <w:r w:rsidR="007C6374">
        <w:rPr>
          <w:bCs/>
        </w:rPr>
        <w:t xml:space="preserve"> the empire would be prey were the “mind of the empire to be withdrawn” (1.4.1); the emperor stabilizes the body politick, and for this reason “the commonwealth needs the head” (1.4.2-3)</w:t>
      </w:r>
      <w:r w:rsidR="000557D8">
        <w:rPr>
          <w:bCs/>
        </w:rPr>
        <w:t>; “the gentleness of your mind will be transmitted to others…it will be diffused over the whole body of the empire, and all will be formed in your likeness for health springs</w:t>
      </w:r>
      <w:r w:rsidR="00053CE1">
        <w:rPr>
          <w:bCs/>
        </w:rPr>
        <w:t xml:space="preserve"> from the head (2.2.1).”</w:t>
      </w:r>
      <w:r w:rsidR="007B0EF9">
        <w:rPr>
          <w:rStyle w:val="FootnoteReference"/>
          <w:bCs/>
        </w:rPr>
        <w:footnoteReference w:id="156"/>
      </w:r>
      <w:r w:rsidR="00053CE1">
        <w:rPr>
          <w:bCs/>
        </w:rPr>
        <w:t xml:space="preserve"> </w:t>
      </w:r>
      <w:r w:rsidR="00C47A2F">
        <w:rPr>
          <w:bCs/>
        </w:rPr>
        <w:t>For Seneca, the fun</w:t>
      </w:r>
      <w:r w:rsidR="00053CE1">
        <w:rPr>
          <w:bCs/>
        </w:rPr>
        <w:t>ction of the head (emperor)//</w:t>
      </w:r>
      <w:r w:rsidR="00C47A2F">
        <w:rPr>
          <w:bCs/>
        </w:rPr>
        <w:t>body (empire) metaphor</w:t>
      </w:r>
      <w:r w:rsidR="00053CE1">
        <w:rPr>
          <w:bCs/>
        </w:rPr>
        <w:t xml:space="preserve"> is to stress </w:t>
      </w:r>
      <w:r w:rsidR="00053CE1" w:rsidRPr="00053CE1">
        <w:rPr>
          <w:bCs/>
          <w:i/>
        </w:rPr>
        <w:t xml:space="preserve">the </w:t>
      </w:r>
      <w:r w:rsidR="00053CE1">
        <w:rPr>
          <w:bCs/>
          <w:i/>
        </w:rPr>
        <w:t>remarkable</w:t>
      </w:r>
      <w:r w:rsidR="00053CE1" w:rsidRPr="00053CE1">
        <w:rPr>
          <w:bCs/>
          <w:i/>
        </w:rPr>
        <w:t xml:space="preserve"> connection between the ruler and the ruled</w:t>
      </w:r>
      <w:r w:rsidR="00053CE1">
        <w:rPr>
          <w:bCs/>
        </w:rPr>
        <w:t xml:space="preserve"> such that Nero will care for and not harm his own body. </w:t>
      </w:r>
      <w:r w:rsidR="00FA704B">
        <w:rPr>
          <w:bCs/>
        </w:rPr>
        <w:t xml:space="preserve"> Just as the “church” is </w:t>
      </w:r>
      <w:r w:rsidR="000557D8">
        <w:rPr>
          <w:bCs/>
        </w:rPr>
        <w:t xml:space="preserve">the </w:t>
      </w:r>
      <w:r w:rsidR="000557D8" w:rsidRPr="000557D8">
        <w:rPr>
          <w:bCs/>
          <w:i/>
          <w:iCs/>
        </w:rPr>
        <w:t>body of the head</w:t>
      </w:r>
      <w:r w:rsidR="000557D8">
        <w:rPr>
          <w:bCs/>
        </w:rPr>
        <w:t xml:space="preserve"> (Col. 1:18a), so Seneca speaks of “the commonwealth as though it were a part of himself</w:t>
      </w:r>
      <w:r w:rsidR="00FA704B">
        <w:rPr>
          <w:bCs/>
        </w:rPr>
        <w:t>”</w:t>
      </w:r>
      <w:r w:rsidR="000557D8">
        <w:rPr>
          <w:bCs/>
        </w:rPr>
        <w:t xml:space="preserve"> (i.e., the king; 1.13.4).</w:t>
      </w:r>
      <w:r w:rsidR="00681E53">
        <w:rPr>
          <w:bCs/>
        </w:rPr>
        <w:t xml:space="preserve">  It may be of relevance to note here that the king as “mind” and “head” has connotations of both </w:t>
      </w:r>
      <w:r w:rsidR="00681E53" w:rsidRPr="00681E53">
        <w:rPr>
          <w:bCs/>
          <w:i/>
          <w:iCs/>
        </w:rPr>
        <w:t>ruler and source of the body’s health</w:t>
      </w:r>
      <w:r w:rsidR="00681E53">
        <w:rPr>
          <w:bCs/>
        </w:rPr>
        <w:t xml:space="preserve"> which illuminates Paul’s application of </w:t>
      </w:r>
      <w:r w:rsidR="00681E53">
        <w:rPr>
          <w:rFonts w:ascii="Gentium Plus" w:hAnsi="Gentium Plus"/>
          <w:bCs/>
          <w:lang w:val="el-GR"/>
        </w:rPr>
        <w:t>κεφαλή</w:t>
      </w:r>
      <w:r w:rsidR="00681E53">
        <w:rPr>
          <w:bCs/>
        </w:rPr>
        <w:t xml:space="preserve"> to Christ who both rules the church (Col. 1:18a; 2:10) and provides health and nourishment to the body (Col. 2:19).</w:t>
      </w:r>
      <w:r w:rsidR="000557D8">
        <w:rPr>
          <w:bCs/>
        </w:rPr>
        <w:t xml:space="preserve"> </w:t>
      </w:r>
      <w:r w:rsidR="002C3E94">
        <w:rPr>
          <w:bCs/>
        </w:rPr>
        <w:t xml:space="preserve">One can state the implications </w:t>
      </w:r>
      <w:r w:rsidR="00681E53">
        <w:rPr>
          <w:bCs/>
        </w:rPr>
        <w:t>for Colossians 1:18 no</w:t>
      </w:r>
      <w:r w:rsidR="002C3E94">
        <w:rPr>
          <w:bCs/>
        </w:rPr>
        <w:t xml:space="preserve"> better than Maier:</w:t>
      </w:r>
    </w:p>
    <w:p w14:paraId="5EAA68A5" w14:textId="14DD60A8" w:rsidR="002C3E94" w:rsidRDefault="002C3E94" w:rsidP="00681E53">
      <w:pPr>
        <w:ind w:left="720" w:right="720"/>
        <w:jc w:val="both"/>
        <w:rPr>
          <w:bCs/>
        </w:rPr>
      </w:pPr>
      <w:r>
        <w:rPr>
          <w:bCs/>
        </w:rPr>
        <w:t>Like Nero, who imperial poets acclaimed as an embodied deity, and Seneca celebrated as the head of the body, the Roman empire, on whom all rests and depends for its health and vigour, the incarnate Son, the enthroned Jesus, heads the cosmos by which all things hold together</w:t>
      </w:r>
      <w:r w:rsidR="00681E53">
        <w:rPr>
          <w:bCs/>
        </w:rPr>
        <w:t xml:space="preserve"> (1.17) and from whom, in ‘empire of his beloved son’ (1.13), comes growth and renewal (2.9-10, 19; 1.6).</w:t>
      </w:r>
      <w:r w:rsidR="00681E53">
        <w:rPr>
          <w:rStyle w:val="FootnoteReference"/>
          <w:bCs/>
        </w:rPr>
        <w:footnoteReference w:id="157"/>
      </w:r>
    </w:p>
    <w:p w14:paraId="0BD1C322" w14:textId="77777777" w:rsidR="00681E53" w:rsidRDefault="00681E53" w:rsidP="00681E53">
      <w:pPr>
        <w:ind w:left="720" w:right="720"/>
        <w:jc w:val="both"/>
        <w:rPr>
          <w:bCs/>
        </w:rPr>
      </w:pPr>
    </w:p>
    <w:p w14:paraId="1A7E27EA" w14:textId="5C1AD7E8" w:rsidR="00F14A05" w:rsidRDefault="00F14A05" w:rsidP="00F14A05">
      <w:pPr>
        <w:spacing w:line="480" w:lineRule="auto"/>
        <w:jc w:val="center"/>
        <w:rPr>
          <w:bCs/>
        </w:rPr>
      </w:pPr>
      <w:r>
        <w:rPr>
          <w:bCs/>
          <w:i/>
        </w:rPr>
        <w:t xml:space="preserve"> “he is the ruler/beginning” (Col. 1:18b)</w:t>
      </w:r>
    </w:p>
    <w:p w14:paraId="73B9D304" w14:textId="4CF8B8A4" w:rsidR="00BC49A6" w:rsidRDefault="00B75D97" w:rsidP="00B75D97">
      <w:pPr>
        <w:spacing w:line="480" w:lineRule="auto"/>
        <w:jc w:val="both"/>
        <w:rPr>
          <w:bCs/>
        </w:rPr>
      </w:pPr>
      <w:r>
        <w:rPr>
          <w:bCs/>
        </w:rPr>
        <w:t xml:space="preserve">Paul’s statement that Christ is the </w:t>
      </w:r>
      <w:r>
        <w:rPr>
          <w:rFonts w:ascii="Gentium Plus" w:hAnsi="Gentium Plus"/>
          <w:bCs/>
          <w:lang w:val="el-GR"/>
        </w:rPr>
        <w:t>ἀρχή</w:t>
      </w:r>
      <w:r>
        <w:rPr>
          <w:bCs/>
        </w:rPr>
        <w:t xml:space="preserve"> may either indicate that his is supreme in terms of</w:t>
      </w:r>
      <w:r w:rsidR="00FF312C">
        <w:rPr>
          <w:bCs/>
        </w:rPr>
        <w:t xml:space="preserve"> rank and hence “ruler,” or that he is supreme in temporal terms as “the beginning” of creation.</w:t>
      </w:r>
      <w:r w:rsidR="00FF312C">
        <w:rPr>
          <w:rStyle w:val="FootnoteReference"/>
          <w:bCs/>
        </w:rPr>
        <w:footnoteReference w:id="158"/>
      </w:r>
      <w:r w:rsidR="00FF312C">
        <w:rPr>
          <w:bCs/>
        </w:rPr>
        <w:t xml:space="preserve">  Both readings can find plausible justification within the hymn.  Paul has just stressed Christ’s pre-eminence and rule over creation in vv. 15b-17 where Christ has been depicted not only as ruler but even creator of all things, and in the next line Paul will celebrate Christ as </w:t>
      </w:r>
      <w:r w:rsidR="00FF312C" w:rsidRPr="00FF312C">
        <w:rPr>
          <w:bCs/>
          <w:i/>
          <w:iCs/>
        </w:rPr>
        <w:t>the first</w:t>
      </w:r>
      <w:r w:rsidR="00FF312C">
        <w:rPr>
          <w:bCs/>
        </w:rPr>
        <w:t xml:space="preserve"> to rise from the dead (1:18c). </w:t>
      </w:r>
      <w:r w:rsidR="00CD531C">
        <w:rPr>
          <w:bCs/>
        </w:rPr>
        <w:t>What needs to be appreciated, however, is that the semantic range of</w:t>
      </w:r>
      <w:r w:rsidR="00CD531C" w:rsidRPr="00CD531C">
        <w:rPr>
          <w:rFonts w:ascii="Gentium Plus" w:hAnsi="Gentium Plus"/>
          <w:bCs/>
          <w:lang w:val="el-GR"/>
        </w:rPr>
        <w:t xml:space="preserve"> </w:t>
      </w:r>
      <w:r w:rsidR="00CD531C">
        <w:rPr>
          <w:rFonts w:ascii="Gentium Plus" w:hAnsi="Gentium Plus"/>
          <w:bCs/>
          <w:lang w:val="el-GR"/>
        </w:rPr>
        <w:t>ἀρχή</w:t>
      </w:r>
      <w:r w:rsidR="00CD531C">
        <w:rPr>
          <w:rFonts w:ascii="Cambria" w:hAnsi="Cambria"/>
          <w:bCs/>
          <w:lang w:val="el-GR"/>
        </w:rPr>
        <w:t xml:space="preserve"> includes both</w:t>
      </w:r>
      <w:r w:rsidR="00CD531C">
        <w:rPr>
          <w:bCs/>
        </w:rPr>
        <w:t xml:space="preserve"> temporal primacy (“beginning”) and status/rank primacy (“ruler”).</w:t>
      </w:r>
      <w:r w:rsidR="00BB2EDB">
        <w:rPr>
          <w:rStyle w:val="FootnoteReference"/>
          <w:bCs/>
        </w:rPr>
        <w:footnoteReference w:id="159"/>
      </w:r>
      <w:r w:rsidR="00CD531C">
        <w:rPr>
          <w:bCs/>
        </w:rPr>
        <w:t xml:space="preserve">  </w:t>
      </w:r>
      <w:r w:rsidR="00C746A7">
        <w:rPr>
          <w:bCs/>
        </w:rPr>
        <w:t>We have seen, for example, the Priene Letter refer to the birthday of Augustus as</w:t>
      </w:r>
      <w:r w:rsidR="00C746A7" w:rsidRPr="00C746A7">
        <w:rPr>
          <w:rFonts w:ascii="Cambria" w:hAnsi="Cambria" w:cs="Times New Roman"/>
        </w:rPr>
        <w:t xml:space="preserve"> </w:t>
      </w:r>
      <w:r w:rsidR="00C746A7">
        <w:rPr>
          <w:rFonts w:ascii="Cambria" w:hAnsi="Cambria" w:cs="Times New Roman"/>
        </w:rPr>
        <w:t>“equivalent to the beginning of all things (</w:t>
      </w:r>
      <w:r w:rsidR="00C746A7">
        <w:rPr>
          <w:rFonts w:ascii="Gentium Plus" w:hAnsi="Gentium Plus" w:cs="Times New Roman"/>
          <w:lang w:val="el-GR"/>
        </w:rPr>
        <w:t>τῶν πάντων ἀρχῆι</w:t>
      </w:r>
      <w:r w:rsidR="00C746A7">
        <w:rPr>
          <w:rFonts w:ascii="Cambria" w:hAnsi="Cambria" w:cs="Times New Roman"/>
        </w:rPr>
        <w:t>)” and “the beginning of the breath of life (</w:t>
      </w:r>
      <w:r w:rsidR="00C746A7">
        <w:rPr>
          <w:rFonts w:ascii="Gentium Plus" w:hAnsi="Gentium Plus" w:cs="Times New Roman"/>
          <w:lang w:val="el-GR"/>
        </w:rPr>
        <w:t>ἀρχὴν τοῦ βίου καὶ τῆς ζωῆς</w:t>
      </w:r>
      <w:r w:rsidR="00C746A7">
        <w:rPr>
          <w:rFonts w:ascii="Cambria" w:hAnsi="Cambria" w:cs="Times New Roman"/>
        </w:rPr>
        <w:t>)</w:t>
      </w:r>
      <w:r w:rsidR="00C746A7">
        <w:rPr>
          <w:bCs/>
        </w:rPr>
        <w:t xml:space="preserve">.” </w:t>
      </w:r>
      <w:r w:rsidR="00CD531C">
        <w:rPr>
          <w:bCs/>
        </w:rPr>
        <w:t>For this reason, one finds applied to rulers to stress their pre-eminence – sometimes in terms of rank and status and sometimes in terms of source, origin, and temporal p</w:t>
      </w:r>
      <w:r w:rsidR="006A769B">
        <w:rPr>
          <w:bCs/>
        </w:rPr>
        <w:t>riority.  Thus</w:t>
      </w:r>
      <w:r w:rsidR="00CD531C">
        <w:rPr>
          <w:bCs/>
        </w:rPr>
        <w:t xml:space="preserve">, each of the poetic praises placed at the seams of the LXX Pentateuch refer to the coming king as </w:t>
      </w:r>
      <w:r w:rsidR="00CD531C">
        <w:rPr>
          <w:rFonts w:ascii="Gentium Plus" w:hAnsi="Gentium Plus"/>
          <w:bCs/>
          <w:lang w:val="el-GR"/>
        </w:rPr>
        <w:t>ἀρχή</w:t>
      </w:r>
      <w:r w:rsidR="00CD531C">
        <w:rPr>
          <w:bCs/>
        </w:rPr>
        <w:t xml:space="preserve"> (Gen. 49:10; Num. 23:21; Deut. 33:5).</w:t>
      </w:r>
      <w:r w:rsidR="00BB2EDB">
        <w:rPr>
          <w:rStyle w:val="FootnoteReference"/>
          <w:bCs/>
        </w:rPr>
        <w:footnoteReference w:id="160"/>
      </w:r>
      <w:r w:rsidR="00CD531C">
        <w:rPr>
          <w:bCs/>
        </w:rPr>
        <w:t xml:space="preserve"> </w:t>
      </w:r>
      <w:r w:rsidR="006A769B">
        <w:rPr>
          <w:bCs/>
        </w:rPr>
        <w:t xml:space="preserve">See, for example, the royal use of </w:t>
      </w:r>
      <w:r w:rsidR="006A769B">
        <w:rPr>
          <w:rFonts w:ascii="Gentium Plus" w:hAnsi="Gentium Plus"/>
          <w:bCs/>
          <w:lang w:val="el-GR"/>
        </w:rPr>
        <w:t>ἀρχή</w:t>
      </w:r>
      <w:r w:rsidR="006A769B">
        <w:rPr>
          <w:bCs/>
        </w:rPr>
        <w:t xml:space="preserve"> to refer to Israel’s coming king in LXX Isa. 9:5-6a:</w:t>
      </w:r>
    </w:p>
    <w:p w14:paraId="2DBAD451" w14:textId="33CF0E6F" w:rsidR="006A769B" w:rsidRDefault="006A769B" w:rsidP="006A769B">
      <w:pPr>
        <w:ind w:left="720" w:right="720"/>
        <w:jc w:val="both"/>
        <w:rPr>
          <w:bCs/>
        </w:rPr>
      </w:pPr>
      <w:r>
        <w:rPr>
          <w:bCs/>
        </w:rPr>
        <w:t xml:space="preserve">Because a child was born for us, a son was given to us, </w:t>
      </w:r>
      <w:r w:rsidRPr="006A769B">
        <w:rPr>
          <w:bCs/>
          <w:i/>
          <w:iCs/>
        </w:rPr>
        <w:t>whose sovereignty</w:t>
      </w:r>
      <w:r>
        <w:rPr>
          <w:bCs/>
        </w:rPr>
        <w:t xml:space="preserve"> (</w:t>
      </w:r>
      <w:r>
        <w:rPr>
          <w:rFonts w:ascii="Gentium Plus" w:hAnsi="Gentium Plus"/>
          <w:bCs/>
          <w:lang w:val="el-GR"/>
        </w:rPr>
        <w:t>ἡ ἀρχή</w:t>
      </w:r>
      <w:r>
        <w:rPr>
          <w:bCs/>
        </w:rPr>
        <w:t>) was upon his shoulder, and his name shall be called ‘messenger of great counsel,’ for I will bring peace upon the rulers (</w:t>
      </w:r>
      <w:r>
        <w:rPr>
          <w:rFonts w:ascii="Gentium Plus" w:hAnsi="Gentium Plus"/>
          <w:bCs/>
          <w:lang w:val="el-GR"/>
        </w:rPr>
        <w:t>τοὺς ἄρχοντας</w:t>
      </w:r>
      <w:r>
        <w:rPr>
          <w:bCs/>
        </w:rPr>
        <w:t>), peace and health to him. His sovereignty (</w:t>
      </w:r>
      <w:r>
        <w:rPr>
          <w:rFonts w:ascii="Gentium Plus" w:hAnsi="Gentium Plus"/>
          <w:bCs/>
          <w:lang w:val="el-GR"/>
        </w:rPr>
        <w:t>ἡ ἀρχή</w:t>
      </w:r>
      <w:r w:rsidR="00C746A7">
        <w:rPr>
          <w:rFonts w:ascii="Gentium Plus" w:hAnsi="Gentium Plus"/>
          <w:bCs/>
          <w:lang w:val="el-GR"/>
        </w:rPr>
        <w:t xml:space="preserve"> αὐτοῦ</w:t>
      </w:r>
      <w:r>
        <w:rPr>
          <w:bCs/>
        </w:rPr>
        <w:t>) is great, and his peace has no boundary upon the throne of David and his kingdom.”</w:t>
      </w:r>
    </w:p>
    <w:p w14:paraId="29698F65" w14:textId="77777777" w:rsidR="00C746A7" w:rsidRDefault="00C746A7" w:rsidP="00C746A7">
      <w:pPr>
        <w:ind w:right="720"/>
        <w:jc w:val="both"/>
        <w:rPr>
          <w:bCs/>
        </w:rPr>
      </w:pPr>
    </w:p>
    <w:p w14:paraId="694AEB6A" w14:textId="7FDD972A" w:rsidR="00C746A7" w:rsidRDefault="00C746A7" w:rsidP="00C746A7">
      <w:pPr>
        <w:spacing w:line="480" w:lineRule="auto"/>
        <w:jc w:val="both"/>
        <w:rPr>
          <w:bCs/>
        </w:rPr>
      </w:pPr>
      <w:r>
        <w:rPr>
          <w:bCs/>
        </w:rPr>
        <w:t xml:space="preserve">That </w:t>
      </w:r>
      <w:r>
        <w:rPr>
          <w:rFonts w:ascii="Gentium Plus" w:hAnsi="Gentium Plus"/>
          <w:bCs/>
          <w:lang w:val="el-GR"/>
        </w:rPr>
        <w:t>ἀρχή</w:t>
      </w:r>
      <w:r>
        <w:rPr>
          <w:bCs/>
        </w:rPr>
        <w:t xml:space="preserve"> can simultaneously emphasize temporal and status pre-eminence is also seen in the linkage between Israel’s firstborn son as temporally first (hence, “the beginning of my sons”) </w:t>
      </w:r>
      <w:r w:rsidRPr="00C746A7">
        <w:rPr>
          <w:bCs/>
          <w:i/>
          <w:iCs/>
        </w:rPr>
        <w:t>and</w:t>
      </w:r>
      <w:r>
        <w:rPr>
          <w:bCs/>
        </w:rPr>
        <w:t xml:space="preserve"> as the ruler to whom the rights, privileges, and bulk of inheritance belongs (e.g., Gen. 49:3;</w:t>
      </w:r>
      <w:r w:rsidR="00BE137D">
        <w:rPr>
          <w:bCs/>
        </w:rPr>
        <w:t xml:space="preserve"> Deut. 21:17;</w:t>
      </w:r>
      <w:r>
        <w:rPr>
          <w:bCs/>
        </w:rPr>
        <w:t xml:space="preserve"> cf. above on Col. 1:15b). </w:t>
      </w:r>
      <w:r w:rsidR="00421A1B">
        <w:rPr>
          <w:bCs/>
        </w:rPr>
        <w:t xml:space="preserve"> </w:t>
      </w:r>
      <w:r>
        <w:rPr>
          <w:bCs/>
        </w:rPr>
        <w:t>Thus, given Paul’s next statement refers to Christ as “the firstborn from the</w:t>
      </w:r>
      <w:r w:rsidR="00BE137D">
        <w:rPr>
          <w:bCs/>
        </w:rPr>
        <w:t xml:space="preserve"> dead” (1:18c), one may justifiably conclude that </w:t>
      </w:r>
      <w:r w:rsidR="005D4CB6">
        <w:rPr>
          <w:bCs/>
        </w:rPr>
        <w:t xml:space="preserve">as the resurrected and enthroned Messiah, </w:t>
      </w:r>
      <w:r w:rsidR="00BE137D">
        <w:rPr>
          <w:bCs/>
        </w:rPr>
        <w:t xml:space="preserve">Christ is </w:t>
      </w:r>
      <w:r w:rsidR="005D4CB6">
        <w:rPr>
          <w:bCs/>
        </w:rPr>
        <w:t xml:space="preserve">both </w:t>
      </w:r>
      <w:r w:rsidR="00BE137D">
        <w:rPr>
          <w:bCs/>
        </w:rPr>
        <w:t xml:space="preserve">pre-eminent </w:t>
      </w:r>
      <w:r w:rsidR="005D4CB6">
        <w:rPr>
          <w:bCs/>
        </w:rPr>
        <w:t xml:space="preserve">as </w:t>
      </w:r>
      <w:r w:rsidR="005D4CB6" w:rsidRPr="005D4CB6">
        <w:rPr>
          <w:bCs/>
          <w:i/>
        </w:rPr>
        <w:t xml:space="preserve">ruler </w:t>
      </w:r>
      <w:r w:rsidR="005D4CB6" w:rsidRPr="005D4CB6">
        <w:rPr>
          <w:bCs/>
          <w:i/>
          <w:iCs/>
        </w:rPr>
        <w:t>and</w:t>
      </w:r>
      <w:r w:rsidR="00BE137D" w:rsidRPr="005D4CB6">
        <w:rPr>
          <w:bCs/>
          <w:i/>
        </w:rPr>
        <w:t xml:space="preserve"> </w:t>
      </w:r>
      <w:r w:rsidR="005D4CB6">
        <w:rPr>
          <w:bCs/>
          <w:i/>
        </w:rPr>
        <w:t xml:space="preserve">the </w:t>
      </w:r>
      <w:r w:rsidR="00BE137D" w:rsidRPr="005D4CB6">
        <w:rPr>
          <w:bCs/>
          <w:i/>
        </w:rPr>
        <w:t>beginning</w:t>
      </w:r>
      <w:r w:rsidR="00BE137D">
        <w:rPr>
          <w:bCs/>
        </w:rPr>
        <w:t xml:space="preserve"> of</w:t>
      </w:r>
      <w:r w:rsidR="00BB2EDB">
        <w:rPr>
          <w:bCs/>
        </w:rPr>
        <w:t xml:space="preserve"> the resurrection from the dead.</w:t>
      </w:r>
      <w:r w:rsidR="00BB2EDB">
        <w:rPr>
          <w:rStyle w:val="FootnoteReference"/>
          <w:bCs/>
        </w:rPr>
        <w:footnoteReference w:id="161"/>
      </w:r>
    </w:p>
    <w:p w14:paraId="1565C31E" w14:textId="622BD5F4" w:rsidR="00DB28A9" w:rsidRDefault="00DB28A9" w:rsidP="00DB28A9">
      <w:pPr>
        <w:spacing w:line="480" w:lineRule="auto"/>
        <w:jc w:val="center"/>
        <w:rPr>
          <w:bCs/>
          <w:i/>
        </w:rPr>
      </w:pPr>
      <w:r w:rsidRPr="00DB28A9">
        <w:rPr>
          <w:bCs/>
          <w:i/>
        </w:rPr>
        <w:t xml:space="preserve">“the </w:t>
      </w:r>
      <w:r>
        <w:rPr>
          <w:bCs/>
          <w:i/>
        </w:rPr>
        <w:t>firstborn from the dead” (1:18c)</w:t>
      </w:r>
    </w:p>
    <w:p w14:paraId="5D3F3232" w14:textId="2A412F57" w:rsidR="00B74863" w:rsidRPr="00995B96" w:rsidRDefault="00314B38" w:rsidP="00B74863">
      <w:pPr>
        <w:spacing w:line="480" w:lineRule="auto"/>
        <w:jc w:val="both"/>
        <w:rPr>
          <w:bCs/>
        </w:rPr>
      </w:pPr>
      <w:r>
        <w:rPr>
          <w:bCs/>
        </w:rPr>
        <w:t xml:space="preserve">In Paul’s description of Christ as </w:t>
      </w:r>
      <w:r w:rsidR="00115A70">
        <w:rPr>
          <w:rFonts w:ascii="Gentium Plus" w:hAnsi="Gentium Plus"/>
          <w:bCs/>
          <w:lang w:val="el-GR"/>
        </w:rPr>
        <w:t>πρωτότοκος ἐκ τῶν νεκρῶν</w:t>
      </w:r>
      <w:r w:rsidR="00115A70">
        <w:rPr>
          <w:bCs/>
        </w:rPr>
        <w:t xml:space="preserve"> I </w:t>
      </w:r>
      <w:r>
        <w:rPr>
          <w:bCs/>
        </w:rPr>
        <w:t>remind the reader</w:t>
      </w:r>
      <w:r w:rsidR="00115A70">
        <w:rPr>
          <w:bCs/>
        </w:rPr>
        <w:t xml:space="preserve"> that the messianic context of Col. 1:12ff strongly suggests an activation of LXX Ps. 88:26 as an echo where the royal Davidic “firstborn” is</w:t>
      </w:r>
      <w:r w:rsidR="00B74863">
        <w:rPr>
          <w:bCs/>
        </w:rPr>
        <w:t xml:space="preserve"> </w:t>
      </w:r>
      <w:r w:rsidR="00B74863" w:rsidRPr="00B74863">
        <w:rPr>
          <w:bCs/>
          <w:i/>
          <w:iCs/>
        </w:rPr>
        <w:t>promised</w:t>
      </w:r>
      <w:r w:rsidR="00B74863">
        <w:rPr>
          <w:bCs/>
        </w:rPr>
        <w:t xml:space="preserve"> to be</w:t>
      </w:r>
      <w:r w:rsidR="00115A70">
        <w:rPr>
          <w:bCs/>
        </w:rPr>
        <w:t xml:space="preserve"> “exalted above the kings of the earth” (</w:t>
      </w:r>
      <w:r w:rsidR="00115A70">
        <w:rPr>
          <w:rFonts w:ascii="Gentium Plus" w:hAnsi="Gentium Plus" w:cs="Times New Roman"/>
          <w:lang w:val="el-GR"/>
        </w:rPr>
        <w:t>κἀγὼ πρωτότοκον θήσομαι αὐτόν, ὑψηλὸν παρὰ τοῖς βασιλεῦσιν τῆς γῆς</w:t>
      </w:r>
      <w:r w:rsidR="00351E10">
        <w:rPr>
          <w:bCs/>
        </w:rPr>
        <w:t>).</w:t>
      </w:r>
      <w:r w:rsidR="00B74863">
        <w:rPr>
          <w:rStyle w:val="FootnoteReference"/>
          <w:bCs/>
        </w:rPr>
        <w:footnoteReference w:id="162"/>
      </w:r>
      <w:r w:rsidR="00351E10">
        <w:rPr>
          <w:bCs/>
        </w:rPr>
        <w:t xml:space="preserve"> </w:t>
      </w:r>
      <w:r w:rsidR="00B74863">
        <w:rPr>
          <w:bCs/>
        </w:rPr>
        <w:t xml:space="preserve"> </w:t>
      </w:r>
      <w:r w:rsidR="007C5E15">
        <w:rPr>
          <w:bCs/>
        </w:rPr>
        <w:t xml:space="preserve">Here the Father’s enthronement of his royal firstborn </w:t>
      </w:r>
      <w:r w:rsidR="00B74863">
        <w:rPr>
          <w:bCs/>
        </w:rPr>
        <w:t>will</w:t>
      </w:r>
      <w:r w:rsidR="007C5E15">
        <w:rPr>
          <w:bCs/>
        </w:rPr>
        <w:t xml:space="preserve"> secure eternally </w:t>
      </w:r>
      <w:r w:rsidR="007C5E15" w:rsidRPr="007C5E15">
        <w:rPr>
          <w:bCs/>
          <w:i/>
          <w:iCs/>
        </w:rPr>
        <w:t>both his offspring and his throne</w:t>
      </w:r>
      <w:r w:rsidR="007C5E15">
        <w:rPr>
          <w:bCs/>
        </w:rPr>
        <w:t xml:space="preserve"> </w:t>
      </w:r>
      <w:r w:rsidR="009D5283">
        <w:rPr>
          <w:bCs/>
        </w:rPr>
        <w:t xml:space="preserve">as the </w:t>
      </w:r>
      <w:r w:rsidR="00233B24">
        <w:rPr>
          <w:bCs/>
        </w:rPr>
        <w:t xml:space="preserve">firstborn’s inheritance from his father </w:t>
      </w:r>
      <w:r w:rsidR="007C5E15">
        <w:rPr>
          <w:bCs/>
        </w:rPr>
        <w:t>(</w:t>
      </w:r>
      <w:r w:rsidR="00B74863">
        <w:rPr>
          <w:rFonts w:ascii="Gentium Plus" w:hAnsi="Gentium Plus"/>
          <w:bCs/>
          <w:lang w:val="el-GR"/>
        </w:rPr>
        <w:t>καὶ θήσομαι εἰς τὸν αἰῶνα τοῦ αἰῶνος τὸ σπέρμα αὐτοῦ καὶ τὸν θρόνον αὐτοῦ ὡς τὰς ἡμέρας τοῦ οὐρανοῦ</w:t>
      </w:r>
      <w:r w:rsidR="00B74863">
        <w:rPr>
          <w:bCs/>
        </w:rPr>
        <w:t xml:space="preserve">, </w:t>
      </w:r>
      <w:r w:rsidR="007C5E15">
        <w:rPr>
          <w:bCs/>
        </w:rPr>
        <w:t>Ps. 88:30).</w:t>
      </w:r>
      <w:r w:rsidR="00351E10">
        <w:rPr>
          <w:bCs/>
        </w:rPr>
        <w:t xml:space="preserve"> </w:t>
      </w:r>
      <w:r w:rsidR="00115A70">
        <w:rPr>
          <w:bCs/>
        </w:rPr>
        <w:t xml:space="preserve"> </w:t>
      </w:r>
      <w:r w:rsidR="00B74863">
        <w:rPr>
          <w:bCs/>
        </w:rPr>
        <w:t xml:space="preserve">Yet all of the promises made to the Davidic king in Ps. 88:20-38 are undone in verses 39-51 where the psalmist </w:t>
      </w:r>
      <w:r w:rsidR="005062E5">
        <w:rPr>
          <w:bCs/>
        </w:rPr>
        <w:t>accuses the Father of reneging on his promises and abandoning the Davidic King to death and defeat (vv. 39-44): “you have exalted the right hand of his foes” (v. 42a) and “you have cut short the days of his youth” (v. 45a).</w:t>
      </w:r>
      <w:r w:rsidR="005062E5">
        <w:rPr>
          <w:rStyle w:val="FootnoteReference"/>
          <w:bCs/>
        </w:rPr>
        <w:footnoteReference w:id="163"/>
      </w:r>
      <w:r w:rsidR="005062E5">
        <w:rPr>
          <w:bCs/>
        </w:rPr>
        <w:t xml:space="preserve"> Thus, the firstborn son promised enthronement over all the kings of the earth faces the situation of death and an end to his offspring.  Thus, I suggest that for Paul it is the resurrection of the firstborn son from the realm of death that enables the Davidic son to take his rightful place as exalted and enthroned king and secures the continuing offspring of the Messiah.</w:t>
      </w:r>
    </w:p>
    <w:p w14:paraId="2ACBA954" w14:textId="07771E99" w:rsidR="00DB28A9" w:rsidRDefault="00351E10" w:rsidP="00B74863">
      <w:pPr>
        <w:spacing w:line="480" w:lineRule="auto"/>
        <w:ind w:firstLine="720"/>
        <w:jc w:val="both"/>
        <w:rPr>
          <w:bCs/>
        </w:rPr>
      </w:pPr>
      <w:r>
        <w:rPr>
          <w:bCs/>
        </w:rPr>
        <w:t>The Father’s royal enthronement of his firstborn over “the kings of the earth” fits nicely with Paul’s description of Christ as “the head of every ruler and dominion” (</w:t>
      </w:r>
      <w:r w:rsidR="001F3E01">
        <w:rPr>
          <w:rFonts w:ascii="Gentium Plus" w:hAnsi="Gentium Plus"/>
          <w:bCs/>
          <w:lang w:val="el-GR"/>
        </w:rPr>
        <w:t>ὅς ἐστιν ἡ κεφαλὴ πάσης ἀρχῆς καὶ ἐξουσίας</w:t>
      </w:r>
      <w:r w:rsidR="00233B24">
        <w:rPr>
          <w:bCs/>
        </w:rPr>
        <w:t xml:space="preserve">, </w:t>
      </w:r>
      <w:r>
        <w:rPr>
          <w:bCs/>
        </w:rPr>
        <w:t>Col. 2:10b)</w:t>
      </w:r>
      <w:r w:rsidR="009D5283">
        <w:rPr>
          <w:bCs/>
        </w:rPr>
        <w:t>.</w:t>
      </w:r>
      <w:r>
        <w:rPr>
          <w:rStyle w:val="FootnoteReference"/>
          <w:bCs/>
        </w:rPr>
        <w:footnoteReference w:id="164"/>
      </w:r>
      <w:r>
        <w:rPr>
          <w:bCs/>
        </w:rPr>
        <w:t xml:space="preserve"> </w:t>
      </w:r>
      <w:r w:rsidR="00421A1B">
        <w:rPr>
          <w:bCs/>
        </w:rPr>
        <w:t xml:space="preserve"> </w:t>
      </w:r>
      <w:r>
        <w:rPr>
          <w:bCs/>
        </w:rPr>
        <w:t>And given</w:t>
      </w:r>
      <w:r w:rsidR="00115A70">
        <w:rPr>
          <w:bCs/>
        </w:rPr>
        <w:t xml:space="preserve"> the repeated association between the resurrection and enthronement of the Messiah</w:t>
      </w:r>
      <w:r w:rsidR="007C5E15" w:rsidRPr="007C5E15">
        <w:rPr>
          <w:bCs/>
        </w:rPr>
        <w:t xml:space="preserve"> </w:t>
      </w:r>
      <w:r w:rsidR="007C5E15">
        <w:rPr>
          <w:bCs/>
        </w:rPr>
        <w:t>found throughout the NT compositions (e.g., Acts 2:22-36; 13:33ff; Heb. 1:5-13)</w:t>
      </w:r>
      <w:r w:rsidR="00115A70">
        <w:rPr>
          <w:bCs/>
        </w:rPr>
        <w:t xml:space="preserve"> – an association made possible </w:t>
      </w:r>
      <w:r w:rsidR="007C5E15">
        <w:rPr>
          <w:bCs/>
        </w:rPr>
        <w:t xml:space="preserve">not least </w:t>
      </w:r>
      <w:r w:rsidR="00115A70">
        <w:rPr>
          <w:bCs/>
        </w:rPr>
        <w:t xml:space="preserve">by the Psalter (e.g., Ps. 2:7 in Rom. 1:4; Pss 8 and 109 in 1 Cor. 15:23-28) – </w:t>
      </w:r>
      <w:r w:rsidR="007C5E15">
        <w:rPr>
          <w:bCs/>
        </w:rPr>
        <w:t xml:space="preserve">it seems likely that Paul </w:t>
      </w:r>
      <w:r w:rsidR="009D5283">
        <w:rPr>
          <w:bCs/>
        </w:rPr>
        <w:t>speaks of Jesus as “firstborn from the dead” in order to</w:t>
      </w:r>
      <w:r w:rsidR="007C5E15">
        <w:rPr>
          <w:bCs/>
        </w:rPr>
        <w:t xml:space="preserve"> refer to </w:t>
      </w:r>
      <w:r w:rsidR="009D5283">
        <w:rPr>
          <w:bCs/>
        </w:rPr>
        <w:t>his</w:t>
      </w:r>
      <w:r w:rsidR="007C5E15">
        <w:rPr>
          <w:bCs/>
        </w:rPr>
        <w:t xml:space="preserve"> messianic enthronement.</w:t>
      </w:r>
      <w:r w:rsidR="00FB1763">
        <w:rPr>
          <w:rStyle w:val="FootnoteReference"/>
          <w:bCs/>
        </w:rPr>
        <w:footnoteReference w:id="165"/>
      </w:r>
      <w:r w:rsidR="001F3E01">
        <w:rPr>
          <w:bCs/>
        </w:rPr>
        <w:t xml:space="preserve">  Thus, </w:t>
      </w:r>
      <w:r w:rsidR="00FB1763">
        <w:rPr>
          <w:bCs/>
        </w:rPr>
        <w:t xml:space="preserve">being </w:t>
      </w:r>
      <w:r w:rsidR="001F3E01">
        <w:rPr>
          <w:bCs/>
        </w:rPr>
        <w:t>“firstborn from the dead” results in the Davidic Messiah’s kingship over (new) creation, just as it does in Heb. 1:6 and Rev. 1:5.</w:t>
      </w:r>
      <w:r w:rsidR="001F3E01">
        <w:rPr>
          <w:rStyle w:val="FootnoteReference"/>
          <w:bCs/>
        </w:rPr>
        <w:footnoteReference w:id="166"/>
      </w:r>
      <w:r w:rsidR="009D5283">
        <w:rPr>
          <w:bCs/>
        </w:rPr>
        <w:t xml:space="preserve">  But it is not only the exalted </w:t>
      </w:r>
      <w:r w:rsidR="009D5283" w:rsidRPr="009D5283">
        <w:rPr>
          <w:bCs/>
          <w:i/>
          <w:iCs/>
        </w:rPr>
        <w:t>throne</w:t>
      </w:r>
      <w:r w:rsidR="009D5283">
        <w:rPr>
          <w:bCs/>
        </w:rPr>
        <w:t xml:space="preserve"> that the firstborn receives in his resurrection, but as the firstborn son he has the royal rights of primogeniture with respect to his church and, as the </w:t>
      </w:r>
      <w:r w:rsidR="009D5283" w:rsidRPr="009D5283">
        <w:rPr>
          <w:bCs/>
          <w:i/>
          <w:iCs/>
        </w:rPr>
        <w:t>first</w:t>
      </w:r>
      <w:r w:rsidR="009D5283">
        <w:rPr>
          <w:bCs/>
        </w:rPr>
        <w:t xml:space="preserve"> to be raised from the dead, </w:t>
      </w:r>
      <w:r w:rsidR="001F3E01">
        <w:rPr>
          <w:bCs/>
        </w:rPr>
        <w:t xml:space="preserve">he </w:t>
      </w:r>
      <w:r w:rsidR="009D5283">
        <w:rPr>
          <w:bCs/>
        </w:rPr>
        <w:t>thereby secures the resurrection of his offspring</w:t>
      </w:r>
      <w:r w:rsidR="001F3E01">
        <w:rPr>
          <w:bCs/>
        </w:rPr>
        <w:t xml:space="preserve"> – thus fulfilling God’s promise to secure the anointed one’s offspring forever (Ps. 88:30</w:t>
      </w:r>
      <w:r w:rsidR="003E59B1">
        <w:rPr>
          <w:bCs/>
        </w:rPr>
        <w:t>; cf. 1 Cor. 15:20-23</w:t>
      </w:r>
      <w:r w:rsidR="00FB1763">
        <w:rPr>
          <w:bCs/>
        </w:rPr>
        <w:t>; Rom. 8:29</w:t>
      </w:r>
      <w:r w:rsidR="001F3E01">
        <w:rPr>
          <w:bCs/>
        </w:rPr>
        <w:t>)</w:t>
      </w:r>
      <w:r w:rsidR="009D5283">
        <w:rPr>
          <w:bCs/>
        </w:rPr>
        <w:t>.</w:t>
      </w:r>
      <w:r w:rsidR="009D5283">
        <w:rPr>
          <w:rStyle w:val="FootnoteReference"/>
          <w:bCs/>
        </w:rPr>
        <w:footnoteReference w:id="167"/>
      </w:r>
      <w:r w:rsidR="009E1A6C">
        <w:rPr>
          <w:bCs/>
        </w:rPr>
        <w:t xml:space="preserve"> </w:t>
      </w:r>
      <w:r w:rsidR="003E59B1">
        <w:rPr>
          <w:bCs/>
        </w:rPr>
        <w:t>The messianic king is the first one to experience resurrection, but his enthronement secures the certainty that his offspring will follow his path.</w:t>
      </w:r>
      <w:r w:rsidR="003E59B1">
        <w:rPr>
          <w:rStyle w:val="FootnoteReference"/>
          <w:bCs/>
        </w:rPr>
        <w:footnoteReference w:id="168"/>
      </w:r>
      <w:r w:rsidR="00A96367">
        <w:rPr>
          <w:bCs/>
        </w:rPr>
        <w:t xml:space="preserve"> </w:t>
      </w:r>
    </w:p>
    <w:p w14:paraId="61C42720" w14:textId="596C1B41" w:rsidR="00E27FF3" w:rsidRDefault="00E27FF3" w:rsidP="00E27FF3">
      <w:pPr>
        <w:spacing w:line="480" w:lineRule="auto"/>
        <w:jc w:val="center"/>
        <w:rPr>
          <w:bCs/>
          <w:i/>
        </w:rPr>
      </w:pPr>
      <w:r>
        <w:rPr>
          <w:bCs/>
          <w:i/>
        </w:rPr>
        <w:t>“in order that he might be first in all things” (1:18d)</w:t>
      </w:r>
    </w:p>
    <w:p w14:paraId="51983EAC" w14:textId="00C4582B" w:rsidR="00B10894" w:rsidRDefault="00E27FF3" w:rsidP="00E27FF3">
      <w:pPr>
        <w:spacing w:line="480" w:lineRule="auto"/>
        <w:jc w:val="both"/>
        <w:rPr>
          <w:rFonts w:ascii="Cambria" w:hAnsi="Cambria"/>
          <w:bCs/>
          <w:lang w:val="el-GR"/>
        </w:rPr>
      </w:pPr>
      <w:r>
        <w:rPr>
          <w:bCs/>
        </w:rPr>
        <w:t>Christ’s status as “firstborn from the dead” results in his preeminence over everything, hence the purpose clause</w:t>
      </w:r>
      <w:r w:rsidR="00B1698A">
        <w:rPr>
          <w:bCs/>
        </w:rPr>
        <w:t>,</w:t>
      </w:r>
      <w:r>
        <w:rPr>
          <w:bCs/>
        </w:rPr>
        <w:t xml:space="preserve"> </w:t>
      </w:r>
      <w:r>
        <w:rPr>
          <w:rFonts w:ascii="Gentium Plus" w:hAnsi="Gentium Plus"/>
          <w:bCs/>
          <w:lang w:val="el-GR"/>
        </w:rPr>
        <w:t>ἵνα γένηται ἐν πᾶσιν αὐτὸς πρωτεύων</w:t>
      </w:r>
      <w:r w:rsidR="00B1698A">
        <w:rPr>
          <w:rFonts w:ascii="Gentium Plus" w:hAnsi="Gentium Plus"/>
          <w:bCs/>
          <w:lang w:val="el-GR"/>
        </w:rPr>
        <w:t>,</w:t>
      </w:r>
      <w:r>
        <w:rPr>
          <w:bCs/>
        </w:rPr>
        <w:t xml:space="preserve"> interprets his title </w:t>
      </w:r>
      <w:r>
        <w:rPr>
          <w:rFonts w:ascii="Gentium Plus" w:hAnsi="Gentium Plus"/>
          <w:bCs/>
          <w:lang w:val="el-GR"/>
        </w:rPr>
        <w:t>πρωτότοκος ἐκ τῶν νεκρῶν</w:t>
      </w:r>
      <w:r>
        <w:rPr>
          <w:rFonts w:ascii="Cambria" w:hAnsi="Cambria"/>
          <w:bCs/>
          <w:lang w:val="el-GR"/>
        </w:rPr>
        <w:t xml:space="preserve"> and thereby further confirms it as a royal honorific.</w:t>
      </w:r>
      <w:r w:rsidR="00A96367">
        <w:rPr>
          <w:rFonts w:ascii="Cambria" w:hAnsi="Cambria"/>
          <w:bCs/>
          <w:lang w:val="el-GR"/>
        </w:rPr>
        <w:t xml:space="preserve"> </w:t>
      </w:r>
      <w:r w:rsidR="00B15B4A">
        <w:rPr>
          <w:rFonts w:ascii="Cambria" w:hAnsi="Cambria"/>
          <w:bCs/>
          <w:lang w:val="el-GR"/>
        </w:rPr>
        <w:t xml:space="preserve"> </w:t>
      </w:r>
      <w:r w:rsidR="00A96367">
        <w:rPr>
          <w:bCs/>
        </w:rPr>
        <w:t xml:space="preserve">He is “firstborn from the dead” </w:t>
      </w:r>
      <w:r w:rsidR="00B15B4A" w:rsidRPr="00B15B4A">
        <w:rPr>
          <w:rFonts w:ascii="Cambria" w:hAnsi="Cambria"/>
          <w:bCs/>
          <w:i/>
          <w:iCs/>
          <w:lang w:val="el-GR"/>
        </w:rPr>
        <w:t>so that</w:t>
      </w:r>
      <w:r w:rsidR="00B15B4A">
        <w:rPr>
          <w:rFonts w:ascii="Cambria" w:hAnsi="Cambria"/>
          <w:bCs/>
          <w:lang w:val="el-GR"/>
        </w:rPr>
        <w:t xml:space="preserve"> he might be pre-eminent over everything, or in other words, resurrection qualifies him to be the universal ruler of creation and new creation.</w:t>
      </w:r>
      <w:r w:rsidR="00840543">
        <w:rPr>
          <w:rFonts w:ascii="Cambria" w:hAnsi="Cambria"/>
          <w:bCs/>
          <w:lang w:val="el-GR"/>
        </w:rPr>
        <w:t xml:space="preserve"> </w:t>
      </w:r>
      <w:r>
        <w:rPr>
          <w:rFonts w:ascii="Cambria" w:hAnsi="Cambria"/>
          <w:bCs/>
          <w:lang w:val="el-GR"/>
        </w:rPr>
        <w:t xml:space="preserve"> </w:t>
      </w:r>
      <w:r w:rsidR="000263CA">
        <w:rPr>
          <w:rFonts w:ascii="Cambria" w:hAnsi="Cambria"/>
          <w:bCs/>
          <w:lang w:val="el-GR"/>
        </w:rPr>
        <w:t>The language of preeminence and first-ness is conventional for epideictic speeches</w:t>
      </w:r>
      <w:r w:rsidR="00840543">
        <w:rPr>
          <w:rFonts w:ascii="Cambria" w:hAnsi="Cambria"/>
          <w:bCs/>
          <w:lang w:val="el-GR"/>
        </w:rPr>
        <w:t>, including hymns and prayers</w:t>
      </w:r>
      <w:r w:rsidR="00B10894">
        <w:rPr>
          <w:rFonts w:ascii="Cambria" w:hAnsi="Cambria"/>
          <w:bCs/>
          <w:lang w:val="el-GR"/>
        </w:rPr>
        <w:t xml:space="preserve"> (especially to gods)</w:t>
      </w:r>
      <w:r w:rsidR="00840543">
        <w:rPr>
          <w:rFonts w:ascii="Cambria" w:hAnsi="Cambria"/>
          <w:bCs/>
          <w:lang w:val="el-GR"/>
        </w:rPr>
        <w:t>,</w:t>
      </w:r>
      <w:r w:rsidR="000263CA">
        <w:rPr>
          <w:rFonts w:ascii="Cambria" w:hAnsi="Cambria"/>
          <w:bCs/>
          <w:lang w:val="el-GR"/>
        </w:rPr>
        <w:t xml:space="preserve"> and marked off heroic humans</w:t>
      </w:r>
      <w:r w:rsidR="00B10894">
        <w:rPr>
          <w:rFonts w:ascii="Cambria" w:hAnsi="Cambria"/>
          <w:bCs/>
          <w:lang w:val="el-GR"/>
        </w:rPr>
        <w:t xml:space="preserve"> or gods</w:t>
      </w:r>
      <w:r w:rsidR="000263CA">
        <w:rPr>
          <w:rFonts w:ascii="Cambria" w:hAnsi="Cambria"/>
          <w:bCs/>
          <w:lang w:val="el-GR"/>
        </w:rPr>
        <w:t xml:space="preserve"> as unique and their actions as unparalleled.</w:t>
      </w:r>
      <w:r w:rsidR="000263CA">
        <w:rPr>
          <w:rStyle w:val="FootnoteReference"/>
          <w:rFonts w:ascii="Cambria" w:hAnsi="Cambria"/>
          <w:bCs/>
          <w:lang w:val="el-GR"/>
        </w:rPr>
        <w:footnoteReference w:id="169"/>
      </w:r>
      <w:r w:rsidR="00CD46B3">
        <w:rPr>
          <w:rFonts w:ascii="Cambria" w:hAnsi="Cambria"/>
          <w:bCs/>
          <w:lang w:val="el-GR"/>
        </w:rPr>
        <w:t xml:space="preserve"> </w:t>
      </w:r>
      <w:r w:rsidR="00B10894">
        <w:rPr>
          <w:rFonts w:ascii="Cambria" w:hAnsi="Cambria"/>
          <w:bCs/>
          <w:lang w:val="el-GR"/>
        </w:rPr>
        <w:t xml:space="preserve">In the OT, in addition to YHWH, the kings of Israel are the ones who most frequently receive acclamations of uniquness and incomparability: </w:t>
      </w:r>
      <w:r w:rsidR="00A96367">
        <w:rPr>
          <w:rFonts w:ascii="Cambria" w:hAnsi="Cambria"/>
          <w:bCs/>
        </w:rPr>
        <w:t>“no other king shall compare to you”</w:t>
      </w:r>
      <w:r w:rsidR="00B10894">
        <w:rPr>
          <w:rFonts w:ascii="Cambria" w:hAnsi="Cambria"/>
          <w:bCs/>
          <w:lang w:val="el-GR"/>
        </w:rPr>
        <w:t xml:space="preserve"> (S</w:t>
      </w:r>
      <w:r w:rsidR="00A96367">
        <w:rPr>
          <w:rFonts w:ascii="Cambria" w:hAnsi="Cambria"/>
          <w:bCs/>
          <w:lang w:val="el-GR"/>
        </w:rPr>
        <w:t xml:space="preserve">olomon: 1 Kings 3:13; 10:23); </w:t>
      </w:r>
      <w:r w:rsidR="00421A1B">
        <w:rPr>
          <w:rFonts w:ascii="Cambria" w:hAnsi="Cambria"/>
          <w:bCs/>
        </w:rPr>
        <w:t>“there was no one like him among the kings of Judah, either after him nor those who were before him”</w:t>
      </w:r>
      <w:r w:rsidR="00B10894">
        <w:rPr>
          <w:rFonts w:ascii="Cambria" w:hAnsi="Cambria"/>
          <w:bCs/>
          <w:lang w:val="el-GR"/>
        </w:rPr>
        <w:t xml:space="preserve"> (Hezekiah: 2 Kings 18:5).</w:t>
      </w:r>
      <w:r w:rsidR="004E12D3">
        <w:rPr>
          <w:rStyle w:val="FootnoteReference"/>
          <w:rFonts w:ascii="Cambria" w:hAnsi="Cambria"/>
          <w:bCs/>
          <w:lang w:val="el-GR"/>
        </w:rPr>
        <w:footnoteReference w:id="170"/>
      </w:r>
      <w:r w:rsidR="00B10894">
        <w:rPr>
          <w:rFonts w:ascii="Cambria" w:hAnsi="Cambria"/>
          <w:bCs/>
          <w:lang w:val="el-GR"/>
        </w:rPr>
        <w:t xml:space="preserve"> </w:t>
      </w:r>
    </w:p>
    <w:p w14:paraId="45A155F9" w14:textId="325101CD" w:rsidR="00E27FF3" w:rsidRPr="00B10894" w:rsidRDefault="000263CA" w:rsidP="00B10894">
      <w:pPr>
        <w:spacing w:line="480" w:lineRule="auto"/>
        <w:ind w:firstLine="720"/>
        <w:jc w:val="both"/>
        <w:rPr>
          <w:rFonts w:ascii="Cambria" w:hAnsi="Cambria"/>
          <w:bCs/>
          <w:lang w:val="el-GR"/>
        </w:rPr>
      </w:pPr>
      <w:r>
        <w:rPr>
          <w:rFonts w:ascii="Cambria" w:hAnsi="Cambria"/>
          <w:bCs/>
          <w:lang w:val="el-GR"/>
        </w:rPr>
        <w:t>Thus, it is no surprise to find</w:t>
      </w:r>
      <w:r w:rsidR="00CD46B3">
        <w:rPr>
          <w:rFonts w:ascii="Cambria" w:hAnsi="Cambria"/>
          <w:bCs/>
          <w:lang w:val="el-GR"/>
        </w:rPr>
        <w:t xml:space="preserve"> forms of </w:t>
      </w:r>
      <w:r w:rsidR="00CD46B3">
        <w:rPr>
          <w:rFonts w:ascii="Gentium Plus" w:hAnsi="Gentium Plus"/>
          <w:bCs/>
          <w:lang w:val="el-GR"/>
        </w:rPr>
        <w:t>πρωτευ</w:t>
      </w:r>
      <w:r w:rsidR="00CD46B3">
        <w:rPr>
          <w:rFonts w:ascii="Cambria" w:hAnsi="Cambria"/>
          <w:bCs/>
          <w:lang w:val="el-GR"/>
        </w:rPr>
        <w:t xml:space="preserve">- </w:t>
      </w:r>
      <w:r w:rsidR="00CD46B3">
        <w:rPr>
          <w:rFonts w:ascii="Cambria" w:hAnsi="Cambria"/>
          <w:bCs/>
        </w:rPr>
        <w:t xml:space="preserve">are </w:t>
      </w:r>
      <w:r w:rsidR="004E12D3">
        <w:rPr>
          <w:rFonts w:ascii="Cambria" w:hAnsi="Cambria"/>
          <w:bCs/>
        </w:rPr>
        <w:t>often</w:t>
      </w:r>
      <w:r w:rsidR="00CD46B3">
        <w:rPr>
          <w:rFonts w:ascii="Cambria" w:hAnsi="Cambria"/>
          <w:bCs/>
        </w:rPr>
        <w:t xml:space="preserve"> attached to prominent Romans seeking to establish themselves as </w:t>
      </w:r>
      <w:r w:rsidR="004E12D3">
        <w:rPr>
          <w:rFonts w:ascii="Cambria" w:hAnsi="Cambria"/>
          <w:bCs/>
        </w:rPr>
        <w:t>first and unique</w:t>
      </w:r>
      <w:r w:rsidR="008D6E62">
        <w:rPr>
          <w:rFonts w:ascii="Cambria" w:hAnsi="Cambria"/>
          <w:bCs/>
        </w:rPr>
        <w:t xml:space="preserve">. </w:t>
      </w:r>
      <w:r w:rsidR="00421A1B">
        <w:rPr>
          <w:rFonts w:ascii="Cambria" w:hAnsi="Cambria"/>
          <w:bCs/>
        </w:rPr>
        <w:t xml:space="preserve"> </w:t>
      </w:r>
      <w:r w:rsidR="008D6E62">
        <w:rPr>
          <w:rFonts w:ascii="Cambria" w:hAnsi="Cambria"/>
          <w:bCs/>
        </w:rPr>
        <w:t>For example</w:t>
      </w:r>
      <w:r w:rsidR="00CD46B3">
        <w:rPr>
          <w:rFonts w:ascii="Cambria" w:hAnsi="Cambria"/>
          <w:bCs/>
        </w:rPr>
        <w:t xml:space="preserve">, in Plutarch’s </w:t>
      </w:r>
      <w:r w:rsidR="00CD46B3" w:rsidRPr="00CD46B3">
        <w:rPr>
          <w:rFonts w:ascii="Cambria" w:hAnsi="Cambria"/>
          <w:bCs/>
          <w:i/>
          <w:iCs/>
        </w:rPr>
        <w:t>Life of Caesar</w:t>
      </w:r>
      <w:r w:rsidR="00CD46B3">
        <w:rPr>
          <w:rFonts w:ascii="Cambria" w:hAnsi="Cambria"/>
          <w:bCs/>
        </w:rPr>
        <w:t xml:space="preserve"> </w:t>
      </w:r>
      <w:r w:rsidR="008D6E62">
        <w:rPr>
          <w:rFonts w:ascii="Cambria" w:hAnsi="Cambria"/>
          <w:bCs/>
        </w:rPr>
        <w:t xml:space="preserve">the </w:t>
      </w:r>
      <w:r w:rsidR="00B15B4A">
        <w:rPr>
          <w:rFonts w:ascii="Cambria" w:hAnsi="Cambria"/>
          <w:bCs/>
        </w:rPr>
        <w:t>general</w:t>
      </w:r>
      <w:r w:rsidR="008D6E62">
        <w:rPr>
          <w:rFonts w:ascii="Cambria" w:hAnsi="Cambria"/>
          <w:bCs/>
        </w:rPr>
        <w:t xml:space="preserve"> is present</w:t>
      </w:r>
      <w:r w:rsidR="00B15B4A">
        <w:rPr>
          <w:rFonts w:ascii="Cambria" w:hAnsi="Cambria"/>
          <w:bCs/>
        </w:rPr>
        <w:t>ed in</w:t>
      </w:r>
      <w:r w:rsidR="008D6E62">
        <w:rPr>
          <w:rFonts w:ascii="Cambria" w:hAnsi="Cambria"/>
          <w:bCs/>
        </w:rPr>
        <w:t xml:space="preserve"> </w:t>
      </w:r>
      <w:r w:rsidR="004E12D3">
        <w:rPr>
          <w:rFonts w:ascii="Cambria" w:hAnsi="Cambria"/>
          <w:bCs/>
        </w:rPr>
        <w:t xml:space="preserve">constant </w:t>
      </w:r>
      <w:r w:rsidR="00840543">
        <w:rPr>
          <w:rFonts w:ascii="Cambria" w:hAnsi="Cambria"/>
          <w:bCs/>
        </w:rPr>
        <w:t>pursuit of first-ness</w:t>
      </w:r>
      <w:r w:rsidR="00B15B4A">
        <w:rPr>
          <w:rFonts w:ascii="Cambria" w:hAnsi="Cambria"/>
          <w:bCs/>
        </w:rPr>
        <w:t>, motivated by</w:t>
      </w:r>
      <w:r w:rsidR="008D6E62">
        <w:rPr>
          <w:rFonts w:ascii="Cambria" w:hAnsi="Cambria"/>
          <w:bCs/>
        </w:rPr>
        <w:t xml:space="preserve"> </w:t>
      </w:r>
      <w:r w:rsidR="008D6E62">
        <w:rPr>
          <w:rFonts w:ascii="Gentium Plus" w:hAnsi="Gentium Plus"/>
          <w:bCs/>
          <w:lang w:val="el-GR"/>
        </w:rPr>
        <w:t>φιλότιμια</w:t>
      </w:r>
      <w:r w:rsidR="00B15B4A">
        <w:rPr>
          <w:rFonts w:ascii="Gentium Plus" w:hAnsi="Gentium Plus"/>
          <w:bCs/>
          <w:lang w:val="el-GR"/>
        </w:rPr>
        <w:t>.</w:t>
      </w:r>
      <w:r w:rsidR="008D6E62">
        <w:rPr>
          <w:rFonts w:ascii="Cambria" w:hAnsi="Cambria"/>
          <w:bCs/>
        </w:rPr>
        <w:t xml:space="preserve"> </w:t>
      </w:r>
      <w:r w:rsidR="00B15B4A">
        <w:rPr>
          <w:rFonts w:ascii="Cambria" w:hAnsi="Cambria"/>
          <w:bCs/>
        </w:rPr>
        <w:t>Plutarch</w:t>
      </w:r>
      <w:r w:rsidR="00CD46B3">
        <w:rPr>
          <w:rFonts w:ascii="Cambria" w:hAnsi="Cambria"/>
          <w:bCs/>
        </w:rPr>
        <w:t xml:space="preserve"> notes </w:t>
      </w:r>
      <w:r w:rsidR="004E12D3">
        <w:rPr>
          <w:rFonts w:ascii="Cambria" w:hAnsi="Cambria"/>
          <w:bCs/>
        </w:rPr>
        <w:t xml:space="preserve">that </w:t>
      </w:r>
      <w:r w:rsidR="00CD46B3">
        <w:rPr>
          <w:rFonts w:ascii="Cambria" w:hAnsi="Cambria"/>
          <w:bCs/>
        </w:rPr>
        <w:t>Caesa</w:t>
      </w:r>
      <w:r w:rsidR="00B15B4A">
        <w:rPr>
          <w:rFonts w:ascii="Cambria" w:hAnsi="Cambria"/>
          <w:bCs/>
        </w:rPr>
        <w:t xml:space="preserve">r’s admirers tell him that everyone </w:t>
      </w:r>
      <w:r w:rsidR="00CD46B3">
        <w:rPr>
          <w:rFonts w:ascii="Cambria" w:hAnsi="Cambria"/>
          <w:bCs/>
        </w:rPr>
        <w:t>desire</w:t>
      </w:r>
      <w:r w:rsidR="00B15B4A">
        <w:rPr>
          <w:rFonts w:ascii="Cambria" w:hAnsi="Cambria"/>
          <w:bCs/>
        </w:rPr>
        <w:t>s</w:t>
      </w:r>
      <w:r w:rsidR="00CD46B3">
        <w:rPr>
          <w:rFonts w:ascii="Cambria" w:hAnsi="Cambria"/>
          <w:bCs/>
        </w:rPr>
        <w:t xml:space="preserve"> “to have him as first man (</w:t>
      </w:r>
      <w:r w:rsidR="00CD46B3">
        <w:rPr>
          <w:rFonts w:ascii="Gentium Plus" w:hAnsi="Gentium Plus"/>
          <w:bCs/>
          <w:lang w:val="el-GR"/>
        </w:rPr>
        <w:t>πρωτεύσ</w:t>
      </w:r>
      <w:r w:rsidR="008D6E62">
        <w:rPr>
          <w:rFonts w:ascii="Gentium Plus" w:hAnsi="Gentium Plus"/>
          <w:bCs/>
          <w:lang w:val="el-GR"/>
        </w:rPr>
        <w:t>ειν</w:t>
      </w:r>
      <w:r w:rsidR="00CD46B3">
        <w:rPr>
          <w:rFonts w:ascii="Cambria" w:hAnsi="Cambria"/>
          <w:bCs/>
        </w:rPr>
        <w:t>)” (6.4).</w:t>
      </w:r>
      <w:r w:rsidR="00B15B4A">
        <w:rPr>
          <w:rFonts w:ascii="Cambria" w:hAnsi="Cambria"/>
          <w:bCs/>
        </w:rPr>
        <w:t xml:space="preserve"> </w:t>
      </w:r>
      <w:r w:rsidR="008D6E62">
        <w:rPr>
          <w:rFonts w:ascii="Cambria" w:hAnsi="Cambria"/>
          <w:bCs/>
        </w:rPr>
        <w:t>Caesar is reported to have said in response to “struggles for preeminence” (</w:t>
      </w:r>
      <w:r w:rsidR="008D6E62">
        <w:rPr>
          <w:rFonts w:ascii="Gentium Plus" w:hAnsi="Gentium Plus"/>
          <w:bCs/>
          <w:lang w:val="el-GR"/>
        </w:rPr>
        <w:t>περὶ πρωτείων</w:t>
      </w:r>
      <w:r w:rsidR="008D6E62">
        <w:rPr>
          <w:rFonts w:ascii="Cambria" w:hAnsi="Cambria"/>
          <w:bCs/>
        </w:rPr>
        <w:t>, 11.2) witnessed in a barbarian village: “I would rather be first here (</w:t>
      </w:r>
      <w:r w:rsidR="008D6E62">
        <w:rPr>
          <w:rFonts w:ascii="Gentium Plus" w:hAnsi="Gentium Plus"/>
          <w:bCs/>
          <w:lang w:val="el-GR"/>
        </w:rPr>
        <w:t>εἶναι μᾶλλον πρῶτος</w:t>
      </w:r>
      <w:r w:rsidR="008D6E62">
        <w:rPr>
          <w:rFonts w:ascii="Cambria" w:hAnsi="Cambria"/>
          <w:bCs/>
        </w:rPr>
        <w:t>) than second in Rome” (11.3).</w:t>
      </w:r>
      <w:r w:rsidR="007157C5">
        <w:rPr>
          <w:rFonts w:ascii="Cambria" w:hAnsi="Cambria"/>
          <w:bCs/>
        </w:rPr>
        <w:t xml:space="preserve"> </w:t>
      </w:r>
      <w:r w:rsidR="00F50D19">
        <w:t>Above we saw Philo speak of Augustus as “the first and the greatest (</w:t>
      </w:r>
      <w:r w:rsidR="00F50D19">
        <w:rPr>
          <w:rFonts w:ascii="Gentium Plus" w:hAnsi="Gentium Plus"/>
          <w:lang w:val="el-GR"/>
        </w:rPr>
        <w:t>πρῶτος καὶ μέγιστος</w:t>
      </w:r>
      <w:r w:rsidR="00F50D19">
        <w:t>), the common benefactor of all” (</w:t>
      </w:r>
      <w:r w:rsidR="00F50D19">
        <w:rPr>
          <w:i/>
        </w:rPr>
        <w:t>Embassy to Gaius</w:t>
      </w:r>
      <w:r w:rsidR="00F50D19">
        <w:t>, 149).</w:t>
      </w:r>
    </w:p>
    <w:p w14:paraId="7DEA10DC" w14:textId="7F76A577" w:rsidR="00B15B4A" w:rsidRPr="00B15B4A" w:rsidRDefault="00B15B4A" w:rsidP="00B15B4A">
      <w:pPr>
        <w:spacing w:line="480" w:lineRule="auto"/>
        <w:jc w:val="center"/>
        <w:rPr>
          <w:rFonts w:ascii="Cambria" w:hAnsi="Cambria"/>
          <w:bCs/>
          <w:i/>
        </w:rPr>
      </w:pPr>
      <w:r>
        <w:rPr>
          <w:rFonts w:ascii="Cambria" w:hAnsi="Cambria"/>
          <w:bCs/>
          <w:i/>
        </w:rPr>
        <w:t>“because all the fullness was pleased to dwell in him” (1:19)</w:t>
      </w:r>
    </w:p>
    <w:p w14:paraId="622E1FF0" w14:textId="0B5E9367" w:rsidR="00345D06" w:rsidRDefault="006D7D22" w:rsidP="00B75D97">
      <w:pPr>
        <w:spacing w:line="480" w:lineRule="auto"/>
        <w:jc w:val="both"/>
        <w:rPr>
          <w:bCs/>
        </w:rPr>
      </w:pPr>
      <w:r>
        <w:rPr>
          <w:bCs/>
        </w:rPr>
        <w:t xml:space="preserve">In v. 19 </w:t>
      </w:r>
      <w:r w:rsidR="00426C87">
        <w:rPr>
          <w:rFonts w:ascii="Gentium Plus" w:hAnsi="Gentium Plus"/>
          <w:bCs/>
          <w:lang w:val="el-GR"/>
        </w:rPr>
        <w:t>πᾶν τὸ πλήρωμα</w:t>
      </w:r>
      <w:r>
        <w:rPr>
          <w:bCs/>
        </w:rPr>
        <w:t xml:space="preserve"> is likely </w:t>
      </w:r>
      <w:r w:rsidR="00426C87">
        <w:rPr>
          <w:bCs/>
        </w:rPr>
        <w:t xml:space="preserve">the subject of </w:t>
      </w:r>
      <w:r w:rsidR="00426C87">
        <w:rPr>
          <w:rFonts w:ascii="Gentium Plus" w:hAnsi="Gentium Plus"/>
          <w:bCs/>
          <w:lang w:val="el-GR"/>
        </w:rPr>
        <w:t>εὐδόκησεν...κατοικῆσαι</w:t>
      </w:r>
      <w:r w:rsidR="00426C87">
        <w:rPr>
          <w:bCs/>
        </w:rPr>
        <w:t xml:space="preserve"> and</w:t>
      </w:r>
      <w:r w:rsidR="00C17A1B">
        <w:rPr>
          <w:bCs/>
        </w:rPr>
        <w:t>,</w:t>
      </w:r>
      <w:r w:rsidR="00C17A1B">
        <w:rPr>
          <w:rStyle w:val="FootnoteReference"/>
          <w:bCs/>
        </w:rPr>
        <w:footnoteReference w:id="171"/>
      </w:r>
      <w:r w:rsidR="00C17A1B">
        <w:rPr>
          <w:bCs/>
        </w:rPr>
        <w:t xml:space="preserve"> I suggest, both explains why Christ has pre-eminence in everything (v. 18d) </w:t>
      </w:r>
      <w:r w:rsidR="00C17A1B" w:rsidRPr="00C17A1B">
        <w:rPr>
          <w:bCs/>
          <w:i/>
          <w:iCs/>
        </w:rPr>
        <w:t>and</w:t>
      </w:r>
      <w:r w:rsidR="00426C87">
        <w:rPr>
          <w:bCs/>
        </w:rPr>
        <w:t xml:space="preserve"> gives the ground (</w:t>
      </w:r>
      <w:r w:rsidR="00426C87">
        <w:rPr>
          <w:rFonts w:ascii="Gentium Plus" w:hAnsi="Gentium Plus"/>
          <w:bCs/>
          <w:lang w:val="el-GR"/>
        </w:rPr>
        <w:t>ὅτι</w:t>
      </w:r>
      <w:r w:rsidR="00426C87">
        <w:rPr>
          <w:bCs/>
        </w:rPr>
        <w:t>) for Chr</w:t>
      </w:r>
      <w:r w:rsidR="008248FC">
        <w:rPr>
          <w:bCs/>
        </w:rPr>
        <w:t>ist’s reconciling work in v. 20: i.e.,</w:t>
      </w:r>
      <w:r w:rsidR="00426C87">
        <w:rPr>
          <w:bCs/>
        </w:rPr>
        <w:t xml:space="preserve"> Christ the king can provide cosmic reconciliation precisely because God has invested him with “all the fullness.” </w:t>
      </w:r>
      <w:r>
        <w:rPr>
          <w:bCs/>
        </w:rPr>
        <w:t>Though the noun</w:t>
      </w:r>
      <w:r w:rsidRPr="006D7D22">
        <w:rPr>
          <w:rFonts w:ascii="Gentium Plus" w:hAnsi="Gentium Plus"/>
          <w:bCs/>
          <w:lang w:val="el-GR"/>
        </w:rPr>
        <w:t xml:space="preserve"> </w:t>
      </w:r>
      <w:r>
        <w:rPr>
          <w:rFonts w:ascii="Gentium Plus" w:hAnsi="Gentium Plus"/>
          <w:bCs/>
          <w:lang w:val="el-GR"/>
        </w:rPr>
        <w:t>τὸ πλήρωμα</w:t>
      </w:r>
      <w:r>
        <w:rPr>
          <w:bCs/>
        </w:rPr>
        <w:t xml:space="preserve"> is significant within Colossians</w:t>
      </w:r>
      <w:r w:rsidR="00A570BF">
        <w:rPr>
          <w:bCs/>
        </w:rPr>
        <w:t xml:space="preserve"> and functions to asso</w:t>
      </w:r>
      <w:r w:rsidR="00E00378">
        <w:rPr>
          <w:bCs/>
        </w:rPr>
        <w:t xml:space="preserve">ciate both Christ and those </w:t>
      </w:r>
      <w:r w:rsidR="00A570BF">
        <w:rPr>
          <w:bCs/>
        </w:rPr>
        <w:t>in-Christ with God in the closest possible manner</w:t>
      </w:r>
      <w:r>
        <w:rPr>
          <w:bCs/>
        </w:rPr>
        <w:t xml:space="preserve"> (1:</w:t>
      </w:r>
      <w:r w:rsidR="00846A81">
        <w:rPr>
          <w:bCs/>
        </w:rPr>
        <w:t>9, 19, 25;</w:t>
      </w:r>
      <w:r>
        <w:rPr>
          <w:bCs/>
        </w:rPr>
        <w:t xml:space="preserve"> 2:9</w:t>
      </w:r>
      <w:r w:rsidR="00846A81">
        <w:rPr>
          <w:bCs/>
        </w:rPr>
        <w:t>-10</w:t>
      </w:r>
      <w:r w:rsidR="00A570BF">
        <w:rPr>
          <w:bCs/>
        </w:rPr>
        <w:t>; cf. Eph. 3:19</w:t>
      </w:r>
      <w:r>
        <w:rPr>
          <w:bCs/>
        </w:rPr>
        <w:t xml:space="preserve">), its precise </w:t>
      </w:r>
      <w:r w:rsidR="00C17A1B">
        <w:rPr>
          <w:bCs/>
        </w:rPr>
        <w:t>function</w:t>
      </w:r>
      <w:r>
        <w:rPr>
          <w:bCs/>
        </w:rPr>
        <w:t xml:space="preserve"> and religious context is difficult to determine.</w:t>
      </w:r>
      <w:r w:rsidR="008248FC">
        <w:rPr>
          <w:bCs/>
        </w:rPr>
        <w:t xml:space="preserve"> </w:t>
      </w:r>
      <w:r w:rsidR="00A96367">
        <w:rPr>
          <w:bCs/>
        </w:rPr>
        <w:t xml:space="preserve"> </w:t>
      </w:r>
      <w:r w:rsidR="008248FC">
        <w:rPr>
          <w:bCs/>
        </w:rPr>
        <w:t xml:space="preserve">I simply offer the two following observations.  First, the LXX frequently uses the language of </w:t>
      </w:r>
      <w:r w:rsidR="008248FC">
        <w:rPr>
          <w:rFonts w:ascii="Gentium Plus" w:hAnsi="Gentium Plus"/>
          <w:bCs/>
          <w:lang w:val="el-GR"/>
        </w:rPr>
        <w:t>τὸ πλήρωμα</w:t>
      </w:r>
      <w:r w:rsidR="008248FC">
        <w:rPr>
          <w:bCs/>
        </w:rPr>
        <w:t xml:space="preserve"> in contexts emphasizing God’s dominion and authority over </w:t>
      </w:r>
      <w:r w:rsidR="00791333">
        <w:rPr>
          <w:bCs/>
        </w:rPr>
        <w:t xml:space="preserve">all of </w:t>
      </w:r>
      <w:r w:rsidR="008248FC">
        <w:rPr>
          <w:bCs/>
        </w:rPr>
        <w:t>creation.</w:t>
      </w:r>
      <w:r w:rsidR="00791333">
        <w:rPr>
          <w:bCs/>
        </w:rPr>
        <w:t xml:space="preserve">  To give just two examples: “the earth </w:t>
      </w:r>
      <w:r w:rsidR="00791333" w:rsidRPr="00791333">
        <w:rPr>
          <w:bCs/>
          <w:i/>
          <w:iCs/>
        </w:rPr>
        <w:t>and its fullness</w:t>
      </w:r>
      <w:r w:rsidR="00791333">
        <w:rPr>
          <w:bCs/>
        </w:rPr>
        <w:t xml:space="preserve"> </w:t>
      </w:r>
      <w:r w:rsidR="003D33D2">
        <w:rPr>
          <w:bCs/>
        </w:rPr>
        <w:t>(</w:t>
      </w:r>
      <w:r w:rsidR="003D33D2">
        <w:rPr>
          <w:rFonts w:ascii="Gentium Plus" w:hAnsi="Gentium Plus"/>
          <w:bCs/>
          <w:lang w:val="el-GR"/>
        </w:rPr>
        <w:t>τὸ πλήρωμα αὐτῆς</w:t>
      </w:r>
      <w:r w:rsidR="003D33D2">
        <w:rPr>
          <w:bCs/>
        </w:rPr>
        <w:t xml:space="preserve">) </w:t>
      </w:r>
      <w:r w:rsidR="00791333">
        <w:rPr>
          <w:bCs/>
        </w:rPr>
        <w:t>is the Lord’s, the world and all those who live in it” (LXX Ps.</w:t>
      </w:r>
      <w:r w:rsidR="003D33D2">
        <w:rPr>
          <w:bCs/>
        </w:rPr>
        <w:t xml:space="preserve"> 23:1); and “to you are the heavens, and to you is the earth, the world and its fullness (</w:t>
      </w:r>
      <w:r w:rsidR="003D33D2">
        <w:rPr>
          <w:rFonts w:ascii="Gentium Plus" w:hAnsi="Gentium Plus"/>
          <w:bCs/>
          <w:lang w:val="el-GR"/>
        </w:rPr>
        <w:t>τὸ πλήρωμα αὐτῆς</w:t>
      </w:r>
      <w:r w:rsidR="003D33D2">
        <w:rPr>
          <w:bCs/>
        </w:rPr>
        <w:t>) you founded” (LXX Ps. 88:12).</w:t>
      </w:r>
      <w:r w:rsidR="003D33D2">
        <w:rPr>
          <w:rStyle w:val="FootnoteReference"/>
          <w:bCs/>
        </w:rPr>
        <w:footnoteReference w:id="172"/>
      </w:r>
      <w:r w:rsidR="003D33D2">
        <w:rPr>
          <w:bCs/>
        </w:rPr>
        <w:t xml:space="preserve">  We remember from discussions of </w:t>
      </w:r>
      <w:r w:rsidR="00FF3F90">
        <w:rPr>
          <w:bCs/>
        </w:rPr>
        <w:t xml:space="preserve">LXX </w:t>
      </w:r>
      <w:r w:rsidR="003D33D2">
        <w:rPr>
          <w:bCs/>
        </w:rPr>
        <w:t>Ps. 88 that the Father gifts the royal Son with</w:t>
      </w:r>
      <w:r w:rsidR="00C17A1B">
        <w:rPr>
          <w:bCs/>
        </w:rPr>
        <w:t xml:space="preserve"> </w:t>
      </w:r>
      <w:r w:rsidR="00C17A1B" w:rsidRPr="00C17A1B">
        <w:rPr>
          <w:bCs/>
          <w:i/>
          <w:iCs/>
        </w:rPr>
        <w:t>his</w:t>
      </w:r>
      <w:r w:rsidR="003D33D2">
        <w:rPr>
          <w:bCs/>
        </w:rPr>
        <w:t xml:space="preserve"> dominion over</w:t>
      </w:r>
      <w:r w:rsidR="00FF3F90">
        <w:rPr>
          <w:bCs/>
        </w:rPr>
        <w:t xml:space="preserve"> creation.  So </w:t>
      </w:r>
      <w:r w:rsidR="003D33D2">
        <w:rPr>
          <w:bCs/>
        </w:rPr>
        <w:t xml:space="preserve">to </w:t>
      </w:r>
      <w:r w:rsidR="00FF3F90">
        <w:rPr>
          <w:bCs/>
        </w:rPr>
        <w:t xml:space="preserve">speak of Christ as embodying </w:t>
      </w:r>
      <w:r w:rsidR="003D33D2">
        <w:rPr>
          <w:bCs/>
        </w:rPr>
        <w:t xml:space="preserve">“all the fullness” </w:t>
      </w:r>
      <w:r w:rsidR="00C17A1B">
        <w:rPr>
          <w:bCs/>
        </w:rPr>
        <w:t xml:space="preserve">of the Father </w:t>
      </w:r>
      <w:r w:rsidR="003D33D2">
        <w:rPr>
          <w:bCs/>
        </w:rPr>
        <w:t>marks him out as God’s deputized agent who rules over the cosmos (Col. 1:20).</w:t>
      </w:r>
      <w:r w:rsidR="003D33D2">
        <w:rPr>
          <w:rStyle w:val="FootnoteReference"/>
          <w:bCs/>
        </w:rPr>
        <w:footnoteReference w:id="173"/>
      </w:r>
    </w:p>
    <w:p w14:paraId="4EB74FAA" w14:textId="3DA11580" w:rsidR="007C5396" w:rsidRDefault="007C5396" w:rsidP="00B75D97">
      <w:pPr>
        <w:spacing w:line="480" w:lineRule="auto"/>
        <w:jc w:val="both"/>
        <w:rPr>
          <w:bCs/>
        </w:rPr>
      </w:pPr>
      <w:r>
        <w:rPr>
          <w:bCs/>
        </w:rPr>
        <w:tab/>
        <w:t xml:space="preserve">Second, if 1:19 functions, at least in part, as the ground for Paul’s acclamation of Christ as the royal agent </w:t>
      </w:r>
      <w:r w:rsidR="00C17A1B">
        <w:rPr>
          <w:bCs/>
        </w:rPr>
        <w:t>who accomplishes</w:t>
      </w:r>
      <w:r>
        <w:rPr>
          <w:bCs/>
        </w:rPr>
        <w:t xml:space="preserve"> cosmic peace and reconciliation of </w:t>
      </w:r>
      <w:r w:rsidRPr="007C5396">
        <w:rPr>
          <w:bCs/>
          <w:i/>
          <w:iCs/>
        </w:rPr>
        <w:t>all things</w:t>
      </w:r>
      <w:r>
        <w:rPr>
          <w:bCs/>
        </w:rPr>
        <w:t xml:space="preserve"> (1:20), then it may be worthwhile to note that</w:t>
      </w:r>
      <w:r w:rsidR="00C951F7">
        <w:rPr>
          <w:bCs/>
        </w:rPr>
        <w:t xml:space="preserve"> </w:t>
      </w:r>
      <w:r w:rsidR="00C951F7">
        <w:rPr>
          <w:rFonts w:ascii="Gentium Plus" w:hAnsi="Gentium Plus"/>
          <w:bCs/>
          <w:lang w:val="el-GR"/>
        </w:rPr>
        <w:t>εὐδοκέω</w:t>
      </w:r>
      <w:r>
        <w:rPr>
          <w:bCs/>
        </w:rPr>
        <w:t xml:space="preserve"> is frequently used</w:t>
      </w:r>
      <w:r w:rsidR="00C951F7">
        <w:rPr>
          <w:bCs/>
        </w:rPr>
        <w:t xml:space="preserve"> </w:t>
      </w:r>
      <w:r w:rsidR="00986DEA">
        <w:rPr>
          <w:bCs/>
        </w:rPr>
        <w:t xml:space="preserve">in the LXX to </w:t>
      </w:r>
      <w:r w:rsidR="00C951F7">
        <w:rPr>
          <w:bCs/>
        </w:rPr>
        <w:t>describe</w:t>
      </w:r>
      <w:r w:rsidR="00986DEA">
        <w:rPr>
          <w:bCs/>
        </w:rPr>
        <w:t xml:space="preserve"> God’s</w:t>
      </w:r>
      <w:r w:rsidR="00E00378">
        <w:rPr>
          <w:bCs/>
        </w:rPr>
        <w:t xml:space="preserve"> election</w:t>
      </w:r>
      <w:r w:rsidR="00C951F7">
        <w:rPr>
          <w:bCs/>
        </w:rPr>
        <w:t>.</w:t>
      </w:r>
      <w:r w:rsidR="00C951F7">
        <w:rPr>
          <w:rStyle w:val="FootnoteReference"/>
          <w:bCs/>
        </w:rPr>
        <w:footnoteReference w:id="174"/>
      </w:r>
      <w:r w:rsidR="00C951F7">
        <w:rPr>
          <w:bCs/>
        </w:rPr>
        <w:t xml:space="preserve">  For example, 1 Macc. 14:41 narrates the Jews’ “choice (</w:t>
      </w:r>
      <w:r w:rsidR="00C951F7">
        <w:rPr>
          <w:rFonts w:ascii="Gentium Plus" w:hAnsi="Gentium Plus"/>
          <w:bCs/>
          <w:lang w:val="el-GR"/>
        </w:rPr>
        <w:t>εὐδόκησαν</w:t>
      </w:r>
      <w:r w:rsidR="00C951F7">
        <w:rPr>
          <w:bCs/>
        </w:rPr>
        <w:t>) of Simon to be their ruler and priest forever until a trustworthy prophet should arise.”  In Ps. 67:17 (LXX) God elects (</w:t>
      </w:r>
      <w:r w:rsidR="00C951F7">
        <w:rPr>
          <w:rFonts w:ascii="Gentium Plus" w:hAnsi="Gentium Plus"/>
          <w:bCs/>
          <w:lang w:val="el-GR"/>
        </w:rPr>
        <w:t>εὐδόκησεν ὁ θεός</w:t>
      </w:r>
      <w:r w:rsidR="00C951F7">
        <w:rPr>
          <w:bCs/>
        </w:rPr>
        <w:t>) Zion as his exalted mountain in opposition to all other mountains</w:t>
      </w:r>
      <w:r w:rsidR="002F43B5">
        <w:rPr>
          <w:bCs/>
        </w:rPr>
        <w:t xml:space="preserve"> (cf. 2 Macc. 14:35)</w:t>
      </w:r>
      <w:r w:rsidR="00C951F7">
        <w:rPr>
          <w:bCs/>
        </w:rPr>
        <w:t>. In LXX Ps. 15</w:t>
      </w:r>
      <w:r w:rsidR="002F43B5">
        <w:rPr>
          <w:bCs/>
        </w:rPr>
        <w:t>1</w:t>
      </w:r>
      <w:r w:rsidR="00FF3F90">
        <w:rPr>
          <w:bCs/>
        </w:rPr>
        <w:t>, the text</w:t>
      </w:r>
      <w:r w:rsidR="00C951F7">
        <w:rPr>
          <w:bCs/>
        </w:rPr>
        <w:t xml:space="preserve"> speaks in the voice of David: “My brothers were handsome and tall, but the Lord </w:t>
      </w:r>
      <w:r w:rsidR="00C951F7" w:rsidRPr="00C951F7">
        <w:rPr>
          <w:bCs/>
          <w:i/>
          <w:iCs/>
        </w:rPr>
        <w:t>did not choose them</w:t>
      </w:r>
      <w:r w:rsidR="00C951F7">
        <w:rPr>
          <w:bCs/>
        </w:rPr>
        <w:t>” (</w:t>
      </w:r>
      <w:r w:rsidR="00C951F7">
        <w:rPr>
          <w:rFonts w:ascii="Gentium Plus" w:hAnsi="Gentium Plus"/>
          <w:bCs/>
          <w:lang w:val="el-GR"/>
        </w:rPr>
        <w:t>οὐκ εὐδόκησεν ἐν αὐτοῖς</w:t>
      </w:r>
      <w:r w:rsidR="00C951F7">
        <w:rPr>
          <w:bCs/>
        </w:rPr>
        <w:t>).</w:t>
      </w:r>
      <w:r w:rsidR="00DD5D78">
        <w:rPr>
          <w:bCs/>
        </w:rPr>
        <w:t xml:space="preserve"> God’s rescue of </w:t>
      </w:r>
      <w:r w:rsidR="00A570BF">
        <w:rPr>
          <w:bCs/>
        </w:rPr>
        <w:t>David</w:t>
      </w:r>
      <w:r w:rsidR="00DD5D78">
        <w:rPr>
          <w:bCs/>
        </w:rPr>
        <w:t xml:space="preserve"> </w:t>
      </w:r>
      <w:r w:rsidR="00A570BF">
        <w:rPr>
          <w:bCs/>
        </w:rPr>
        <w:t>is the result of God’s election of the king</w:t>
      </w:r>
      <w:r w:rsidR="00C951F7">
        <w:rPr>
          <w:bCs/>
        </w:rPr>
        <w:t xml:space="preserve"> </w:t>
      </w:r>
      <w:r w:rsidR="00A570BF">
        <w:rPr>
          <w:bCs/>
        </w:rPr>
        <w:t>(</w:t>
      </w:r>
      <w:r w:rsidR="00A570BF">
        <w:rPr>
          <w:rFonts w:ascii="Gentium Plus" w:hAnsi="Gentium Plus"/>
          <w:bCs/>
          <w:lang w:val="el-GR"/>
        </w:rPr>
        <w:t>ὅτι εὐδόκησεν ἐν ἐμοί</w:t>
      </w:r>
      <w:r w:rsidR="00A570BF">
        <w:rPr>
          <w:bCs/>
        </w:rPr>
        <w:t>, 2 Sam. 22:20)</w:t>
      </w:r>
      <w:r w:rsidR="003B7FE2">
        <w:rPr>
          <w:bCs/>
        </w:rPr>
        <w:t>.</w:t>
      </w:r>
      <w:r w:rsidR="00A570BF">
        <w:rPr>
          <w:bCs/>
        </w:rPr>
        <w:t xml:space="preserve"> </w:t>
      </w:r>
      <w:r w:rsidR="00FF3F90">
        <w:rPr>
          <w:bCs/>
        </w:rPr>
        <w:t>Thus, a plausible interpretation of Col. 1:19 would be one that stressed God’s election of the Messiah as his supreme vicegerent and God’s decision to share all of his divine fullness</w:t>
      </w:r>
      <w:r w:rsidR="00292CAA">
        <w:rPr>
          <w:bCs/>
        </w:rPr>
        <w:t xml:space="preserve"> with his anointed one.</w:t>
      </w:r>
      <w:r w:rsidR="006D43CC">
        <w:rPr>
          <w:rStyle w:val="FootnoteReference"/>
          <w:bCs/>
        </w:rPr>
        <w:footnoteReference w:id="175"/>
      </w:r>
      <w:r w:rsidR="00292CAA">
        <w:rPr>
          <w:bCs/>
        </w:rPr>
        <w:t xml:space="preserve">  It is </w:t>
      </w:r>
      <w:r w:rsidR="00FF3F90">
        <w:rPr>
          <w:bCs/>
        </w:rPr>
        <w:t xml:space="preserve">precisely the gods’ election of their imperial ruler </w:t>
      </w:r>
      <w:r w:rsidR="00986DEA">
        <w:rPr>
          <w:bCs/>
          <w:i/>
          <w:iCs/>
        </w:rPr>
        <w:t>as well as</w:t>
      </w:r>
      <w:r w:rsidR="00FF3F90">
        <w:rPr>
          <w:bCs/>
        </w:rPr>
        <w:t xml:space="preserve"> YHWH’s election of his Davidic </w:t>
      </w:r>
      <w:r w:rsidR="00986DEA">
        <w:rPr>
          <w:bCs/>
        </w:rPr>
        <w:t xml:space="preserve">king that lead to </w:t>
      </w:r>
      <w:r w:rsidR="00FF3F90">
        <w:rPr>
          <w:bCs/>
        </w:rPr>
        <w:t>the most exalted claims on behalf of the king.  As we have seen above, the election of David results i</w:t>
      </w:r>
      <w:r w:rsidR="00292CAA">
        <w:rPr>
          <w:bCs/>
        </w:rPr>
        <w:t xml:space="preserve">n his receiving of worship </w:t>
      </w:r>
      <w:r w:rsidR="002F43B5">
        <w:rPr>
          <w:bCs/>
        </w:rPr>
        <w:t>(1 Chron. 29:16-26</w:t>
      </w:r>
      <w:r w:rsidR="00FF3F90">
        <w:rPr>
          <w:bCs/>
        </w:rPr>
        <w:t xml:space="preserve">).  Psalm 44 (LXX) refers to God’s anointed as </w:t>
      </w:r>
      <w:r w:rsidR="00FF3F90" w:rsidRPr="00FF3F90">
        <w:rPr>
          <w:bCs/>
          <w:i/>
          <w:iCs/>
        </w:rPr>
        <w:t>God</w:t>
      </w:r>
      <w:r w:rsidR="00FF3F90">
        <w:rPr>
          <w:bCs/>
        </w:rPr>
        <w:t xml:space="preserve"> (v. 7). And Ps. 109 (LXX) depicts another royal agent </w:t>
      </w:r>
      <w:r w:rsidR="00FF3F90" w:rsidRPr="00EC1469">
        <w:rPr>
          <w:bCs/>
          <w:i/>
          <w:iCs/>
        </w:rPr>
        <w:t>sharing</w:t>
      </w:r>
      <w:r w:rsidR="00EC1469" w:rsidRPr="00EC1469">
        <w:rPr>
          <w:bCs/>
          <w:i/>
          <w:iCs/>
        </w:rPr>
        <w:t xml:space="preserve"> YHWH’s throne</w:t>
      </w:r>
      <w:r w:rsidR="00EC1469">
        <w:rPr>
          <w:bCs/>
        </w:rPr>
        <w:t xml:space="preserve"> (vv. 1-3). </w:t>
      </w:r>
      <w:r w:rsidR="00292CAA">
        <w:rPr>
          <w:bCs/>
        </w:rPr>
        <w:t>We have also seen how Hellenistic ruler cults and Roman imperial cults spoke of the king as the elected, vice-gerent of the gods in whom all divine authority and power was invested.</w:t>
      </w:r>
      <w:r w:rsidR="002F43B5">
        <w:rPr>
          <w:rStyle w:val="FootnoteReference"/>
          <w:rFonts w:ascii="Cambria" w:hAnsi="Cambria" w:cs="Times New Roman"/>
        </w:rPr>
        <w:footnoteReference w:id="176"/>
      </w:r>
      <w:r w:rsidR="00EC1469">
        <w:rPr>
          <w:bCs/>
        </w:rPr>
        <w:t xml:space="preserve"> Thus, the incredible claim that God elected to share all of his fullness </w:t>
      </w:r>
      <w:r w:rsidR="00EC1469">
        <w:rPr>
          <w:rFonts w:ascii="Gentium Plus" w:hAnsi="Gentium Plus"/>
          <w:bCs/>
          <w:lang w:val="el-GR"/>
        </w:rPr>
        <w:t xml:space="preserve">ἐν αὐτῷ </w:t>
      </w:r>
      <w:r w:rsidR="00EC1469">
        <w:rPr>
          <w:bCs/>
        </w:rPr>
        <w:t>(the an</w:t>
      </w:r>
      <w:r w:rsidR="00292CAA">
        <w:rPr>
          <w:bCs/>
        </w:rPr>
        <w:t xml:space="preserve">tecedent still </w:t>
      </w:r>
      <w:r w:rsidR="00292CAA">
        <w:rPr>
          <w:rFonts w:ascii="Gentium Plus" w:hAnsi="Gentium Plus"/>
          <w:bCs/>
          <w:lang w:val="el-GR"/>
        </w:rPr>
        <w:t>τοῦ υἱοῦ τῆς ἀγάπης αὐτοῦ</w:t>
      </w:r>
      <w:r w:rsidR="00EC1469">
        <w:rPr>
          <w:bCs/>
        </w:rPr>
        <w:t xml:space="preserve"> in 1:13b) naturally arises </w:t>
      </w:r>
      <w:r w:rsidR="00292CAA">
        <w:rPr>
          <w:bCs/>
        </w:rPr>
        <w:t xml:space="preserve">out </w:t>
      </w:r>
      <w:r w:rsidR="00EC1469">
        <w:rPr>
          <w:bCs/>
        </w:rPr>
        <w:t>o</w:t>
      </w:r>
      <w:r w:rsidR="003B7FE2">
        <w:rPr>
          <w:bCs/>
        </w:rPr>
        <w:t>f royal</w:t>
      </w:r>
      <w:r w:rsidR="00EC1469">
        <w:rPr>
          <w:bCs/>
        </w:rPr>
        <w:t xml:space="preserve"> ideology.</w:t>
      </w:r>
    </w:p>
    <w:p w14:paraId="27326D29" w14:textId="568B2236" w:rsidR="00986DEA" w:rsidRDefault="00F639CF" w:rsidP="0098798C">
      <w:pPr>
        <w:jc w:val="center"/>
        <w:rPr>
          <w:bCs/>
          <w:i/>
        </w:rPr>
      </w:pPr>
      <w:r>
        <w:rPr>
          <w:bCs/>
          <w:i/>
        </w:rPr>
        <w:t>“A</w:t>
      </w:r>
      <w:r w:rsidR="00986DEA">
        <w:rPr>
          <w:bCs/>
          <w:i/>
        </w:rPr>
        <w:t>nd through him to reconcile all things to himself, by making peace through the blood of his cross, whether the things on earth or the things in heaven” (1:20)</w:t>
      </w:r>
    </w:p>
    <w:p w14:paraId="053A22CD" w14:textId="77777777" w:rsidR="0098798C" w:rsidRDefault="0098798C" w:rsidP="0098798C">
      <w:pPr>
        <w:jc w:val="center"/>
        <w:rPr>
          <w:bCs/>
          <w:i/>
        </w:rPr>
      </w:pPr>
    </w:p>
    <w:p w14:paraId="1FF98F8B" w14:textId="21DECC9D" w:rsidR="00F2760A" w:rsidRDefault="00C6322D" w:rsidP="001B5A21">
      <w:pPr>
        <w:spacing w:line="480" w:lineRule="auto"/>
        <w:jc w:val="both"/>
        <w:rPr>
          <w:bCs/>
        </w:rPr>
      </w:pPr>
      <w:r>
        <w:rPr>
          <w:bCs/>
        </w:rPr>
        <w:t>In 1:20 Paul celebrates God’s accomplishment of re</w:t>
      </w:r>
      <w:r w:rsidR="00F2760A">
        <w:rPr>
          <w:bCs/>
        </w:rPr>
        <w:t>conciliation of all things to himself (</w:t>
      </w:r>
      <w:r w:rsidR="00F2760A">
        <w:rPr>
          <w:rFonts w:ascii="Gentium Plus" w:hAnsi="Gentium Plus"/>
          <w:bCs/>
          <w:lang w:val="el-GR"/>
        </w:rPr>
        <w:t>ἀποκαταλλάξαι τὰ πάντα εἰς αὐτόν</w:t>
      </w:r>
      <w:r w:rsidR="00F2760A">
        <w:rPr>
          <w:bCs/>
        </w:rPr>
        <w:t xml:space="preserve">) </w:t>
      </w:r>
      <w:r w:rsidR="00F2760A" w:rsidRPr="00F2760A">
        <w:rPr>
          <w:bCs/>
          <w:i/>
          <w:iCs/>
        </w:rPr>
        <w:t>through his royal vicegerent</w:t>
      </w:r>
      <w:r w:rsidR="00F2760A">
        <w:rPr>
          <w:bCs/>
        </w:rPr>
        <w:t xml:space="preserve"> (</w:t>
      </w:r>
      <w:r w:rsidR="00F2760A">
        <w:rPr>
          <w:rFonts w:ascii="Gentium Plus" w:hAnsi="Gentium Plus"/>
          <w:bCs/>
          <w:lang w:val="el-GR"/>
        </w:rPr>
        <w:t>δι᾽ αὐτοῦ</w:t>
      </w:r>
      <w:r w:rsidR="00F2760A">
        <w:rPr>
          <w:bCs/>
        </w:rPr>
        <w:t>).</w:t>
      </w:r>
      <w:r w:rsidR="00F2760A">
        <w:rPr>
          <w:rStyle w:val="FootnoteReference"/>
          <w:bCs/>
        </w:rPr>
        <w:footnoteReference w:id="177"/>
      </w:r>
      <w:r w:rsidR="000E4E7D">
        <w:rPr>
          <w:bCs/>
        </w:rPr>
        <w:t xml:space="preserve"> We have seen that the rhetorical handbooks detailing how to praise kings suggest that emphasis should be placed upon the ruler’s great deeds or benefactions for his people.</w:t>
      </w:r>
      <w:r w:rsidR="000E4E7D">
        <w:rPr>
          <w:rStyle w:val="FootnoteReference"/>
          <w:bCs/>
        </w:rPr>
        <w:footnoteReference w:id="178"/>
      </w:r>
      <w:r w:rsidR="000E4E7D">
        <w:rPr>
          <w:bCs/>
        </w:rPr>
        <w:t xml:space="preserve"> Here Paul finally draws attention to Christ’s great work of accomplishing universal reconciliation by means </w:t>
      </w:r>
      <w:r w:rsidR="00F2760A">
        <w:rPr>
          <w:bCs/>
        </w:rPr>
        <w:t>of “making peace through the blood of the cross” (</w:t>
      </w:r>
      <w:r w:rsidR="00F2760A">
        <w:rPr>
          <w:rFonts w:ascii="Gentium Plus" w:hAnsi="Gentium Plus"/>
          <w:bCs/>
          <w:lang w:val="el-GR"/>
        </w:rPr>
        <w:t>εἰρηνοποιήσας διὰ τοῦ αἵματος τοῦ σταυροῦ αὐτοῦ</w:t>
      </w:r>
      <w:r w:rsidR="00F2760A">
        <w:rPr>
          <w:bCs/>
        </w:rPr>
        <w:t>).  Paul again emphasizes that this reconciling peace is accomplished “through him” (</w:t>
      </w:r>
      <w:r w:rsidR="00F2760A">
        <w:rPr>
          <w:rFonts w:ascii="Gentium Plus" w:hAnsi="Gentium Plus"/>
          <w:bCs/>
          <w:lang w:val="el-GR"/>
        </w:rPr>
        <w:t>δι᾽ αὐτοῦ</w:t>
      </w:r>
      <w:r w:rsidR="00F2760A">
        <w:rPr>
          <w:bCs/>
        </w:rPr>
        <w:t>)</w:t>
      </w:r>
      <w:r w:rsidR="00F2760A">
        <w:rPr>
          <w:rStyle w:val="FootnoteReference"/>
          <w:bCs/>
        </w:rPr>
        <w:footnoteReference w:id="179"/>
      </w:r>
      <w:r w:rsidR="00F2760A">
        <w:rPr>
          <w:bCs/>
        </w:rPr>
        <w:t xml:space="preserve">, and is cosmic in scope </w:t>
      </w:r>
      <w:r w:rsidR="009D6D91">
        <w:rPr>
          <w:bCs/>
        </w:rPr>
        <w:t xml:space="preserve">for </w:t>
      </w:r>
      <w:r w:rsidR="00F2760A">
        <w:rPr>
          <w:bCs/>
        </w:rPr>
        <w:t xml:space="preserve">it encompasses “things on earth and things in </w:t>
      </w:r>
      <w:r w:rsidR="009D6D91">
        <w:rPr>
          <w:bCs/>
        </w:rPr>
        <w:t>heaven</w:t>
      </w:r>
      <w:r w:rsidR="00F2760A">
        <w:rPr>
          <w:bCs/>
        </w:rPr>
        <w:t>” (</w:t>
      </w:r>
      <w:r w:rsidR="009D6D91">
        <w:rPr>
          <w:rFonts w:ascii="Gentium Plus" w:hAnsi="Gentium Plus"/>
          <w:bCs/>
          <w:lang w:val="el-GR"/>
        </w:rPr>
        <w:t>εἴτε τὰ ἐπὶ τῆς γῆς εἴτε τὰ ἐν τοῖς οὐρανοῖς</w:t>
      </w:r>
      <w:r w:rsidR="00F2760A">
        <w:rPr>
          <w:bCs/>
        </w:rPr>
        <w:t>).</w:t>
      </w:r>
    </w:p>
    <w:p w14:paraId="3D0849D7" w14:textId="1228586E" w:rsidR="000F597F" w:rsidRDefault="001B5A21" w:rsidP="0049226C">
      <w:pPr>
        <w:spacing w:line="480" w:lineRule="auto"/>
        <w:ind w:firstLine="720"/>
        <w:jc w:val="both"/>
        <w:rPr>
          <w:bCs/>
        </w:rPr>
      </w:pPr>
      <w:r>
        <w:rPr>
          <w:bCs/>
        </w:rPr>
        <w:t>While there are a host</w:t>
      </w:r>
      <w:r w:rsidR="0002045C">
        <w:rPr>
          <w:bCs/>
        </w:rPr>
        <w:t xml:space="preserve"> of</w:t>
      </w:r>
      <w:r>
        <w:rPr>
          <w:bCs/>
        </w:rPr>
        <w:t xml:space="preserve"> ancient royal virtues and traits of the good king, </w:t>
      </w:r>
      <w:r w:rsidRPr="001B5A21">
        <w:rPr>
          <w:bCs/>
          <w:i/>
          <w:iCs/>
        </w:rPr>
        <w:t>the</w:t>
      </w:r>
      <w:r>
        <w:rPr>
          <w:bCs/>
        </w:rPr>
        <w:t xml:space="preserve"> single most significant component of a king’s legitimacy was military victory, conquest</w:t>
      </w:r>
      <w:r w:rsidR="0049226C">
        <w:rPr>
          <w:bCs/>
        </w:rPr>
        <w:t xml:space="preserve"> and expansion</w:t>
      </w:r>
      <w:r>
        <w:rPr>
          <w:bCs/>
        </w:rPr>
        <w:t>,</w:t>
      </w:r>
      <w:r w:rsidR="0049226C">
        <w:rPr>
          <w:bCs/>
        </w:rPr>
        <w:t xml:space="preserve"> and</w:t>
      </w:r>
      <w:r>
        <w:rPr>
          <w:bCs/>
        </w:rPr>
        <w:t xml:space="preserve"> pacification and defeat </w:t>
      </w:r>
      <w:r w:rsidR="0002045C">
        <w:rPr>
          <w:bCs/>
        </w:rPr>
        <w:t>of one’s enemies,</w:t>
      </w:r>
      <w:r w:rsidR="0049226C">
        <w:rPr>
          <w:bCs/>
        </w:rPr>
        <w:t xml:space="preserve"> which thereby resulted</w:t>
      </w:r>
      <w:r w:rsidR="0002045C">
        <w:rPr>
          <w:bCs/>
        </w:rPr>
        <w:t xml:space="preserve"> in peace and concord.</w:t>
      </w:r>
      <w:r w:rsidR="0002045C">
        <w:rPr>
          <w:rStyle w:val="FootnoteReference"/>
          <w:bCs/>
        </w:rPr>
        <w:footnoteReference w:id="180"/>
      </w:r>
      <w:r w:rsidR="0002045C">
        <w:rPr>
          <w:bCs/>
        </w:rPr>
        <w:t xml:space="preserve">  </w:t>
      </w:r>
      <w:r w:rsidR="0049226C">
        <w:rPr>
          <w:bCs/>
        </w:rPr>
        <w:t>Arguably the single most importan</w:t>
      </w:r>
      <w:r w:rsidR="00650001">
        <w:rPr>
          <w:bCs/>
        </w:rPr>
        <w:t>t trait of the good king was this</w:t>
      </w:r>
      <w:r w:rsidR="0049226C">
        <w:rPr>
          <w:bCs/>
        </w:rPr>
        <w:t xml:space="preserve"> production of peace and harmony </w:t>
      </w:r>
      <w:r w:rsidR="0049226C" w:rsidRPr="0049226C">
        <w:rPr>
          <w:bCs/>
          <w:i/>
          <w:iCs/>
        </w:rPr>
        <w:t>through</w:t>
      </w:r>
      <w:r w:rsidR="0049226C">
        <w:rPr>
          <w:bCs/>
        </w:rPr>
        <w:t xml:space="preserve"> defeat and pacification of the empire’s enemies.</w:t>
      </w:r>
      <w:r w:rsidR="00DA649C">
        <w:rPr>
          <w:bCs/>
        </w:rPr>
        <w:t xml:space="preserve"> </w:t>
      </w:r>
      <w:r w:rsidR="00E56C27">
        <w:rPr>
          <w:bCs/>
        </w:rPr>
        <w:t>J. Rufus Fears refers to this aspect of royal ideology as “the theology of victory”: “Conquest and expansion of his kingdom’s frontiers were the duty of the true king, and the gods of the commonwealth aided his martial enterprises, leading his armed host into battle.”</w:t>
      </w:r>
      <w:r w:rsidR="00E56C27">
        <w:rPr>
          <w:rStyle w:val="FootnoteReference"/>
          <w:bCs/>
        </w:rPr>
        <w:footnoteReference w:id="181"/>
      </w:r>
      <w:r w:rsidR="00E56C27">
        <w:rPr>
          <w:bCs/>
        </w:rPr>
        <w:t xml:space="preserve"> </w:t>
      </w:r>
      <w:r w:rsidR="00DA649C">
        <w:rPr>
          <w:bCs/>
        </w:rPr>
        <w:t xml:space="preserve">Peace through pacification </w:t>
      </w:r>
      <w:r w:rsidR="000F597F">
        <w:rPr>
          <w:bCs/>
        </w:rPr>
        <w:t xml:space="preserve">or reconciliation </w:t>
      </w:r>
      <w:r w:rsidR="00DA649C">
        <w:rPr>
          <w:bCs/>
        </w:rPr>
        <w:t xml:space="preserve">of one’s enemies was often situated in a cosmic context and spoken of as something that brought peace </w:t>
      </w:r>
      <w:r w:rsidR="00ED421B">
        <w:rPr>
          <w:bCs/>
        </w:rPr>
        <w:t xml:space="preserve">and harmony </w:t>
      </w:r>
      <w:r w:rsidR="00DA649C">
        <w:rPr>
          <w:bCs/>
        </w:rPr>
        <w:t>to the cosmos (or “land and sea”) and was given as a gift of the gods.</w:t>
      </w:r>
      <w:r w:rsidR="00A30ECA">
        <w:rPr>
          <w:rStyle w:val="FootnoteReference"/>
          <w:bCs/>
        </w:rPr>
        <w:footnoteReference w:id="182"/>
      </w:r>
      <w:r w:rsidR="000F597F">
        <w:rPr>
          <w:bCs/>
        </w:rPr>
        <w:t xml:space="preserve"> </w:t>
      </w:r>
      <w:r w:rsidR="00815618">
        <w:rPr>
          <w:bCs/>
        </w:rPr>
        <w:t xml:space="preserve"> </w:t>
      </w:r>
      <w:r w:rsidR="000F597F">
        <w:rPr>
          <w:bCs/>
        </w:rPr>
        <w:t xml:space="preserve">Thus, forms of </w:t>
      </w:r>
      <w:r w:rsidR="000F597F">
        <w:rPr>
          <w:rFonts w:ascii="Gentium Plus" w:hAnsi="Gentium Plus"/>
          <w:bCs/>
          <w:lang w:val="el-GR"/>
        </w:rPr>
        <w:t>καταλάσσω</w:t>
      </w:r>
      <w:r w:rsidR="000F597F">
        <w:rPr>
          <w:bCs/>
        </w:rPr>
        <w:t xml:space="preserve"> and </w:t>
      </w:r>
      <w:r w:rsidR="000F597F">
        <w:rPr>
          <w:rFonts w:ascii="Gentium Plus" w:hAnsi="Gentium Plus"/>
          <w:bCs/>
          <w:lang w:val="el-GR"/>
        </w:rPr>
        <w:t>διαλάσσω</w:t>
      </w:r>
      <w:r w:rsidR="000F597F">
        <w:rPr>
          <w:bCs/>
        </w:rPr>
        <w:t xml:space="preserve"> are frequently used in royal and/or diplomatic contexts to indicate a leader’s reconciliation or pacification of enemies thereby resulting in peace</w:t>
      </w:r>
      <w:r w:rsidR="001C08E5">
        <w:rPr>
          <w:bCs/>
        </w:rPr>
        <w:t xml:space="preserve"> and cosmic harmony</w:t>
      </w:r>
      <w:r w:rsidR="000F597F">
        <w:rPr>
          <w:bCs/>
        </w:rPr>
        <w:t>.</w:t>
      </w:r>
      <w:r w:rsidR="00A30ECA">
        <w:rPr>
          <w:rStyle w:val="FootnoteReference"/>
          <w:bCs/>
        </w:rPr>
        <w:footnoteReference w:id="183"/>
      </w:r>
      <w:r w:rsidR="000F597F">
        <w:rPr>
          <w:bCs/>
        </w:rPr>
        <w:t xml:space="preserve"> </w:t>
      </w:r>
      <w:r w:rsidR="002F172F">
        <w:rPr>
          <w:bCs/>
        </w:rPr>
        <w:t xml:space="preserve">Periander, for example, brings harmony between Mytilene and Athens through acting as a reconciler (x, Herodotus, </w:t>
      </w:r>
      <w:r w:rsidR="002F172F" w:rsidRPr="002F172F">
        <w:rPr>
          <w:bCs/>
          <w:i/>
          <w:iCs/>
        </w:rPr>
        <w:t>Histories</w:t>
      </w:r>
      <w:r w:rsidR="002F172F">
        <w:rPr>
          <w:bCs/>
        </w:rPr>
        <w:t xml:space="preserve"> 5.95).</w:t>
      </w:r>
      <w:r w:rsidR="002F172F">
        <w:rPr>
          <w:rStyle w:val="FootnoteReference"/>
          <w:bCs/>
        </w:rPr>
        <w:footnoteReference w:id="184"/>
      </w:r>
      <w:r w:rsidR="00175275">
        <w:rPr>
          <w:bCs/>
        </w:rPr>
        <w:t xml:space="preserve"> Plato says that the tyrant is always ready to make more wars “after he has begun to reconcile/pacify his enemies (</w:t>
      </w:r>
      <w:r w:rsidR="00175275">
        <w:rPr>
          <w:rFonts w:ascii="Gentium Plus" w:hAnsi="Gentium Plus"/>
          <w:bCs/>
          <w:lang w:val="el-GR"/>
        </w:rPr>
        <w:t>πρὸς τοὺς ἔξω ἐχθροὺς τοῖς μὲν καταλλαγῇ</w:t>
      </w:r>
      <w:r w:rsidR="00175275">
        <w:rPr>
          <w:bCs/>
        </w:rPr>
        <w:t>)” (</w:t>
      </w:r>
      <w:r w:rsidR="00175275">
        <w:rPr>
          <w:bCs/>
          <w:i/>
        </w:rPr>
        <w:t>Republic</w:t>
      </w:r>
      <w:r w:rsidR="00175275">
        <w:rPr>
          <w:bCs/>
        </w:rPr>
        <w:t xml:space="preserve"> 8.566E). Plutarch</w:t>
      </w:r>
      <w:r w:rsidR="001C08E5">
        <w:rPr>
          <w:bCs/>
        </w:rPr>
        <w:t xml:space="preserve"> states of Alexander the Great’</w:t>
      </w:r>
      <w:r w:rsidR="000F597F">
        <w:rPr>
          <w:bCs/>
        </w:rPr>
        <w:t>s ideology of peace</w:t>
      </w:r>
      <w:r w:rsidR="001C08E5">
        <w:rPr>
          <w:bCs/>
        </w:rPr>
        <w:t xml:space="preserve"> and harmony</w:t>
      </w:r>
      <w:r w:rsidR="000F597F">
        <w:rPr>
          <w:bCs/>
        </w:rPr>
        <w:t xml:space="preserve"> through pacification</w:t>
      </w:r>
      <w:r w:rsidR="001C08E5">
        <w:rPr>
          <w:bCs/>
        </w:rPr>
        <w:t xml:space="preserve"> (</w:t>
      </w:r>
      <w:r w:rsidR="001C08E5">
        <w:rPr>
          <w:bCs/>
          <w:i/>
        </w:rPr>
        <w:t>On the Fortune of Alexander</w:t>
      </w:r>
      <w:r w:rsidR="001C08E5">
        <w:rPr>
          <w:bCs/>
        </w:rPr>
        <w:t xml:space="preserve"> 329C)</w:t>
      </w:r>
      <w:r w:rsidR="000F597F">
        <w:rPr>
          <w:bCs/>
        </w:rPr>
        <w:t>:</w:t>
      </w:r>
    </w:p>
    <w:p w14:paraId="3AFEE17E" w14:textId="25ECDBFA" w:rsidR="000F597F" w:rsidRDefault="001C08E5" w:rsidP="001C08E5">
      <w:pPr>
        <w:ind w:left="720" w:right="720"/>
        <w:jc w:val="both"/>
        <w:rPr>
          <w:bCs/>
        </w:rPr>
      </w:pPr>
      <w:r>
        <w:rPr>
          <w:bCs/>
        </w:rPr>
        <w:t>But, as he believed that he came as a heaven-sent governor to all, and as a reconciler for the whole world (</w:t>
      </w:r>
      <w:r>
        <w:rPr>
          <w:rFonts w:ascii="Gentium Plus" w:hAnsi="Gentium Plus"/>
          <w:bCs/>
          <w:lang w:val="el-GR"/>
        </w:rPr>
        <w:t>διαλλακτὴς τῶν ὅλων</w:t>
      </w:r>
      <w:r>
        <w:rPr>
          <w:bCs/>
        </w:rPr>
        <w:t>), those whom he could not persuade to unite with him, he conquered by force of arms, and he brought together into one body all men everywhere, uniting and mixing in one great loving-cup, as it were, men’s lives, their characters, their marriages, their very habits of life.</w:t>
      </w:r>
    </w:p>
    <w:p w14:paraId="33A878D5" w14:textId="77777777" w:rsidR="001C08E5" w:rsidRDefault="001C08E5" w:rsidP="001C08E5">
      <w:pPr>
        <w:ind w:left="720" w:right="720"/>
        <w:jc w:val="both"/>
        <w:rPr>
          <w:bCs/>
        </w:rPr>
      </w:pPr>
    </w:p>
    <w:p w14:paraId="10F522A9" w14:textId="1FA3C6BB" w:rsidR="0049226C" w:rsidRDefault="00815618" w:rsidP="000F597F">
      <w:pPr>
        <w:spacing w:line="480" w:lineRule="auto"/>
        <w:ind w:firstLine="720"/>
        <w:jc w:val="both"/>
        <w:rPr>
          <w:bCs/>
        </w:rPr>
      </w:pPr>
      <w:r>
        <w:rPr>
          <w:bCs/>
        </w:rPr>
        <w:t xml:space="preserve">Pliny gives voice to the </w:t>
      </w:r>
      <w:r w:rsidR="001C08E5">
        <w:rPr>
          <w:bCs/>
        </w:rPr>
        <w:t xml:space="preserve">same Roman imperial </w:t>
      </w:r>
      <w:r>
        <w:rPr>
          <w:bCs/>
        </w:rPr>
        <w:t>ideology in his statement when he speaks of “the immeasurable majesty of the Roman peace” as a gift of the gods mediated through his emperors (</w:t>
      </w:r>
      <w:r>
        <w:rPr>
          <w:bCs/>
          <w:i/>
        </w:rPr>
        <w:t>Natural History</w:t>
      </w:r>
      <w:r>
        <w:rPr>
          <w:bCs/>
        </w:rPr>
        <w:t xml:space="preserve"> 27.3).</w:t>
      </w:r>
      <w:r>
        <w:rPr>
          <w:rStyle w:val="FootnoteReference"/>
          <w:bCs/>
        </w:rPr>
        <w:footnoteReference w:id="185"/>
      </w:r>
      <w:r>
        <w:rPr>
          <w:bCs/>
        </w:rPr>
        <w:t xml:space="preserve"> And we saw Pliny celebrate Trajan precisely for the peace that </w:t>
      </w:r>
      <w:r w:rsidR="00ED421B">
        <w:rPr>
          <w:bCs/>
        </w:rPr>
        <w:t>the emperor</w:t>
      </w:r>
      <w:r>
        <w:rPr>
          <w:bCs/>
        </w:rPr>
        <w:t xml:space="preserve"> is able to bring across land and sea for the sake of his subjects (</w:t>
      </w:r>
      <w:r>
        <w:rPr>
          <w:bCs/>
          <w:i/>
        </w:rPr>
        <w:t xml:space="preserve">Panegyricus </w:t>
      </w:r>
      <w:r w:rsidR="00DA649C">
        <w:rPr>
          <w:bCs/>
        </w:rPr>
        <w:t>4.4; 5.6-9</w:t>
      </w:r>
      <w:r>
        <w:rPr>
          <w:bCs/>
        </w:rPr>
        <w:t>).</w:t>
      </w:r>
      <w:r w:rsidR="00DA649C">
        <w:rPr>
          <w:bCs/>
        </w:rPr>
        <w:t xml:space="preserve">  </w:t>
      </w:r>
    </w:p>
    <w:p w14:paraId="2551DA77" w14:textId="49ED58D8" w:rsidR="00205EB9" w:rsidRDefault="0002045C" w:rsidP="00352468">
      <w:pPr>
        <w:spacing w:line="480" w:lineRule="auto"/>
        <w:ind w:firstLine="720"/>
        <w:jc w:val="both"/>
        <w:rPr>
          <w:bCs/>
        </w:rPr>
      </w:pPr>
      <w:r>
        <w:rPr>
          <w:bCs/>
        </w:rPr>
        <w:t>Military v</w:t>
      </w:r>
      <w:r w:rsidR="00424E5C">
        <w:rPr>
          <w:bCs/>
        </w:rPr>
        <w:t xml:space="preserve">ictory was both the source and the ground </w:t>
      </w:r>
      <w:r>
        <w:rPr>
          <w:bCs/>
        </w:rPr>
        <w:t xml:space="preserve">for </w:t>
      </w:r>
      <w:r w:rsidR="0049226C">
        <w:rPr>
          <w:bCs/>
        </w:rPr>
        <w:t>the</w:t>
      </w:r>
      <w:r>
        <w:rPr>
          <w:bCs/>
        </w:rPr>
        <w:t xml:space="preserve"> kingship of Alexander the Great </w:t>
      </w:r>
      <w:r w:rsidR="00424E5C">
        <w:rPr>
          <w:bCs/>
        </w:rPr>
        <w:t xml:space="preserve">and his Hellenistic successors and this played an </w:t>
      </w:r>
      <w:r w:rsidR="0097672B">
        <w:rPr>
          <w:bCs/>
        </w:rPr>
        <w:t>enormous role</w:t>
      </w:r>
      <w:r w:rsidR="00BB7281">
        <w:rPr>
          <w:bCs/>
        </w:rPr>
        <w:t xml:space="preserve"> in legitimating the</w:t>
      </w:r>
      <w:r w:rsidR="00424E5C">
        <w:rPr>
          <w:bCs/>
        </w:rPr>
        <w:t xml:space="preserve"> rule of </w:t>
      </w:r>
      <w:r w:rsidR="00BB7281">
        <w:rPr>
          <w:bCs/>
        </w:rPr>
        <w:t>Jul</w:t>
      </w:r>
      <w:r w:rsidR="00352468">
        <w:rPr>
          <w:bCs/>
        </w:rPr>
        <w:t>ius Caesar and Augustus</w:t>
      </w:r>
      <w:r w:rsidR="00424E5C">
        <w:rPr>
          <w:bCs/>
        </w:rPr>
        <w:t>.</w:t>
      </w:r>
      <w:r w:rsidR="00424E5C">
        <w:rPr>
          <w:rStyle w:val="FootnoteReference"/>
          <w:bCs/>
        </w:rPr>
        <w:footnoteReference w:id="186"/>
      </w:r>
      <w:r w:rsidR="00BB7281">
        <w:rPr>
          <w:bCs/>
        </w:rPr>
        <w:t xml:space="preserve">  The author of 1 Maccabees begins his work by characterizing Alexander’s kingship as the result of his military exploits and co</w:t>
      </w:r>
      <w:r w:rsidR="00352468">
        <w:rPr>
          <w:bCs/>
        </w:rPr>
        <w:t>nquests into new territories (</w:t>
      </w:r>
      <w:r w:rsidR="00BB7281">
        <w:rPr>
          <w:bCs/>
        </w:rPr>
        <w:t>1:3-9).</w:t>
      </w:r>
      <w:r w:rsidR="00BB7281">
        <w:rPr>
          <w:rStyle w:val="FootnoteReference"/>
          <w:bCs/>
        </w:rPr>
        <w:footnoteReference w:id="187"/>
      </w:r>
      <w:r w:rsidR="00F639CF">
        <w:rPr>
          <w:bCs/>
        </w:rPr>
        <w:t xml:space="preserve">  The first paragraphs of Augustus’ </w:t>
      </w:r>
      <w:r w:rsidR="00F639CF" w:rsidRPr="00F639CF">
        <w:rPr>
          <w:bCs/>
          <w:i/>
          <w:iCs/>
        </w:rPr>
        <w:t>Res Gestae</w:t>
      </w:r>
      <w:r w:rsidR="00F639CF">
        <w:rPr>
          <w:bCs/>
        </w:rPr>
        <w:t xml:space="preserve"> boast of his command of the army “by means of which I set the state free from the slavery imposed by the conspirators” (1.1).</w:t>
      </w:r>
      <w:r w:rsidR="00F639CF">
        <w:rPr>
          <w:rStyle w:val="FootnoteReference"/>
          <w:bCs/>
        </w:rPr>
        <w:footnoteReference w:id="188"/>
      </w:r>
      <w:r w:rsidR="00F639CF">
        <w:rPr>
          <w:bCs/>
        </w:rPr>
        <w:t xml:space="preserve"> Military exploits (2.1; 3.1</w:t>
      </w:r>
      <w:r w:rsidR="00C6322D">
        <w:rPr>
          <w:bCs/>
        </w:rPr>
        <w:t>; 21:1-3; 30.1</w:t>
      </w:r>
      <w:r w:rsidR="00F639CF">
        <w:rPr>
          <w:bCs/>
        </w:rPr>
        <w:t>), triumphs celebrating Augustus’ victories (</w:t>
      </w:r>
      <w:r w:rsidR="00C6322D">
        <w:rPr>
          <w:rFonts w:ascii="Gentium Plus" w:hAnsi="Gentium Plus"/>
          <w:bCs/>
          <w:lang w:val="el-GR"/>
        </w:rPr>
        <w:t>ἐθριάμβευσα</w:t>
      </w:r>
      <w:r w:rsidR="00C6322D">
        <w:rPr>
          <w:bCs/>
        </w:rPr>
        <w:t xml:space="preserve">, </w:t>
      </w:r>
      <w:r w:rsidR="00F639CF">
        <w:rPr>
          <w:bCs/>
        </w:rPr>
        <w:t>4.1), and the “making of peace on land and sea” (</w:t>
      </w:r>
      <w:r w:rsidR="00F639CF">
        <w:rPr>
          <w:rFonts w:ascii="Gentium Plus" w:hAnsi="Gentium Plus"/>
          <w:bCs/>
          <w:lang w:val="el-GR"/>
        </w:rPr>
        <w:t>εἰρηνευομένης...πάσης γῆς τε καὶ θαλάσσης</w:t>
      </w:r>
      <w:r w:rsidR="00F639CF">
        <w:rPr>
          <w:bCs/>
        </w:rPr>
        <w:t>, 13.1</w:t>
      </w:r>
      <w:r w:rsidR="00C6322D">
        <w:rPr>
          <w:bCs/>
        </w:rPr>
        <w:t xml:space="preserve">; cf. </w:t>
      </w:r>
      <w:r w:rsidR="00C6322D">
        <w:rPr>
          <w:rFonts w:ascii="Gentium Plus" w:hAnsi="Gentium Plus"/>
          <w:bCs/>
          <w:lang w:val="el-GR"/>
        </w:rPr>
        <w:t>θάλασσα</w:t>
      </w:r>
      <w:r w:rsidR="00C6322D">
        <w:rPr>
          <w:rFonts w:ascii="Gentium Plus" w:hAnsi="Gentium Plus"/>
          <w:bCs/>
        </w:rPr>
        <w:t>[</w:t>
      </w:r>
      <w:r w:rsidR="00C6322D">
        <w:rPr>
          <w:rFonts w:ascii="Gentium Plus" w:hAnsi="Gentium Plus"/>
          <w:bCs/>
          <w:lang w:val="el-GR"/>
        </w:rPr>
        <w:t>ν</w:t>
      </w:r>
      <w:r w:rsidR="00C6322D">
        <w:rPr>
          <w:rFonts w:ascii="Gentium Plus" w:hAnsi="Gentium Plus"/>
          <w:bCs/>
        </w:rPr>
        <w:t>] [εἰ]ρήνευσα-</w:t>
      </w:r>
      <w:r w:rsidR="00C6322D">
        <w:rPr>
          <w:bCs/>
        </w:rPr>
        <w:t>, 25.1</w:t>
      </w:r>
      <w:r w:rsidR="007A60ED">
        <w:rPr>
          <w:bCs/>
        </w:rPr>
        <w:t xml:space="preserve">; </w:t>
      </w:r>
      <w:r w:rsidR="007A60ED">
        <w:rPr>
          <w:rFonts w:ascii="Gentium Plus" w:hAnsi="Gentium Plus"/>
          <w:bCs/>
          <w:lang w:val="el-GR"/>
        </w:rPr>
        <w:t>εἰρήνη κατέστησα</w:t>
      </w:r>
      <w:r w:rsidR="007A60ED">
        <w:rPr>
          <w:bCs/>
        </w:rPr>
        <w:t xml:space="preserve">, 26.2; </w:t>
      </w:r>
      <w:r w:rsidR="007A60ED">
        <w:rPr>
          <w:rFonts w:ascii="Gentium Plus" w:hAnsi="Gentium Plus"/>
          <w:bCs/>
          <w:lang w:val="el-GR"/>
        </w:rPr>
        <w:t>θαλάσσης εἰρηνεύεσθαι πεπόηκα</w:t>
      </w:r>
      <w:r w:rsidR="007A60ED">
        <w:rPr>
          <w:bCs/>
        </w:rPr>
        <w:t>, 26.3</w:t>
      </w:r>
      <w:r w:rsidR="00F639CF">
        <w:rPr>
          <w:bCs/>
        </w:rPr>
        <w:t xml:space="preserve">) litter </w:t>
      </w:r>
      <w:r w:rsidR="00352468">
        <w:rPr>
          <w:bCs/>
        </w:rPr>
        <w:t>the list of his accomplishments</w:t>
      </w:r>
      <w:r w:rsidR="007A60ED">
        <w:rPr>
          <w:bCs/>
        </w:rPr>
        <w:t>.</w:t>
      </w:r>
      <w:r w:rsidR="007A60ED">
        <w:rPr>
          <w:rStyle w:val="FootnoteReference"/>
          <w:bCs/>
        </w:rPr>
        <w:footnoteReference w:id="189"/>
      </w:r>
      <w:r w:rsidR="00710CEC">
        <w:rPr>
          <w:bCs/>
        </w:rPr>
        <w:t xml:space="preserve">  Through Augustus’ ending of the civil war and his victories over foreign powers, “peace was been brought back again” and his entire reign can be characterized as “the pacification of the world through his victories” (Velleius Paterculus, </w:t>
      </w:r>
      <w:r w:rsidR="00710CEC" w:rsidRPr="00710CEC">
        <w:rPr>
          <w:bCs/>
          <w:i/>
          <w:iCs/>
        </w:rPr>
        <w:t>Roman History</w:t>
      </w:r>
      <w:r w:rsidR="00710CEC">
        <w:rPr>
          <w:bCs/>
        </w:rPr>
        <w:t xml:space="preserve"> 2.89).</w:t>
      </w:r>
      <w:r w:rsidR="00710CEC">
        <w:rPr>
          <w:rStyle w:val="FootnoteReference"/>
          <w:bCs/>
        </w:rPr>
        <w:footnoteReference w:id="190"/>
      </w:r>
      <w:r w:rsidR="00710CEC">
        <w:rPr>
          <w:bCs/>
        </w:rPr>
        <w:t xml:space="preserve">  Horace declares that with “Caesar as guardian of the state, neither civil discord nor violence shall drive away peace” (4.14.x).</w:t>
      </w:r>
      <w:r w:rsidR="00D44ADE">
        <w:rPr>
          <w:bCs/>
        </w:rPr>
        <w:t xml:space="preserve">  </w:t>
      </w:r>
      <w:r w:rsidR="00DA649C">
        <w:rPr>
          <w:bCs/>
        </w:rPr>
        <w:t>Even E</w:t>
      </w:r>
      <w:r w:rsidR="00352468">
        <w:rPr>
          <w:bCs/>
        </w:rPr>
        <w:t>pictetus</w:t>
      </w:r>
      <w:r w:rsidR="00DA649C">
        <w:rPr>
          <w:bCs/>
        </w:rPr>
        <w:t xml:space="preserve"> speaks of Caesar as having “provided us with a great peace, so that there are no longer any wars or battles” (</w:t>
      </w:r>
      <w:r w:rsidR="00DA649C">
        <w:rPr>
          <w:bCs/>
          <w:i/>
        </w:rPr>
        <w:t>Discourses</w:t>
      </w:r>
      <w:r w:rsidR="00DA649C">
        <w:rPr>
          <w:bCs/>
        </w:rPr>
        <w:t xml:space="preserve">, 3.13.9). </w:t>
      </w:r>
      <w:r w:rsidR="00352468">
        <w:rPr>
          <w:bCs/>
        </w:rPr>
        <w:t>Tacitus, with</w:t>
      </w:r>
      <w:r w:rsidR="00D44ADE">
        <w:rPr>
          <w:bCs/>
        </w:rPr>
        <w:t xml:space="preserve"> critical irony, suggests that Augustus was able to increase his royal powers precisely through his provision of “the blandishments of peace” (</w:t>
      </w:r>
      <w:r w:rsidR="00D44ADE">
        <w:rPr>
          <w:bCs/>
          <w:i/>
        </w:rPr>
        <w:t>Ann</w:t>
      </w:r>
      <w:r w:rsidR="00D44ADE">
        <w:rPr>
          <w:bCs/>
        </w:rPr>
        <w:t>. 1.2).</w:t>
      </w:r>
      <w:r w:rsidR="00D44ADE">
        <w:rPr>
          <w:rStyle w:val="FootnoteReference"/>
          <w:bCs/>
        </w:rPr>
        <w:footnoteReference w:id="191"/>
      </w:r>
      <w:r w:rsidR="00352468">
        <w:rPr>
          <w:bCs/>
        </w:rPr>
        <w:t xml:space="preserve">  </w:t>
      </w:r>
      <w:r w:rsidR="00163F30">
        <w:rPr>
          <w:bCs/>
        </w:rPr>
        <w:t>Cicero says that “peace with honor” (</w:t>
      </w:r>
      <w:r w:rsidR="00163F30" w:rsidRPr="00163F30">
        <w:rPr>
          <w:bCs/>
          <w:i/>
        </w:rPr>
        <w:t>cum dignitate otium</w:t>
      </w:r>
      <w:r w:rsidR="00163F30">
        <w:rPr>
          <w:bCs/>
        </w:rPr>
        <w:t xml:space="preserve">) is imperative for any who would lead the Romans (Cicero, </w:t>
      </w:r>
      <w:r w:rsidR="00163F30" w:rsidRPr="00163F30">
        <w:rPr>
          <w:bCs/>
          <w:i/>
          <w:iCs/>
        </w:rPr>
        <w:t>Sest</w:t>
      </w:r>
      <w:r w:rsidR="00163F30">
        <w:rPr>
          <w:bCs/>
        </w:rPr>
        <w:t>. 98).</w:t>
      </w:r>
      <w:r w:rsidR="00710CEC">
        <w:rPr>
          <w:bCs/>
        </w:rPr>
        <w:t xml:space="preserve"> And we have seen above how Horace, Pliny, and Seneca celebrate the emperor as an agent of peace.</w:t>
      </w:r>
      <w:r w:rsidR="00710CEC">
        <w:rPr>
          <w:rStyle w:val="FootnoteReference"/>
          <w:bCs/>
        </w:rPr>
        <w:footnoteReference w:id="192"/>
      </w:r>
      <w:r w:rsidR="00205EB9">
        <w:rPr>
          <w:bCs/>
        </w:rPr>
        <w:t xml:space="preserve">  Even Philo of Alexandria witnesses to the Roman royal theology of victory</w:t>
      </w:r>
      <w:r w:rsidR="00BD270E">
        <w:rPr>
          <w:bCs/>
        </w:rPr>
        <w:t xml:space="preserve"> (</w:t>
      </w:r>
      <w:r w:rsidR="00BD270E">
        <w:rPr>
          <w:bCs/>
          <w:i/>
        </w:rPr>
        <w:t xml:space="preserve">Embassy to Gaius </w:t>
      </w:r>
      <w:r w:rsidR="00BD270E">
        <w:rPr>
          <w:bCs/>
        </w:rPr>
        <w:t>145-147)</w:t>
      </w:r>
      <w:r w:rsidR="00205EB9">
        <w:rPr>
          <w:bCs/>
        </w:rPr>
        <w:t>:</w:t>
      </w:r>
    </w:p>
    <w:p w14:paraId="31979924" w14:textId="3E20FF44" w:rsidR="00205EB9" w:rsidRDefault="00205EB9" w:rsidP="00BD270E">
      <w:pPr>
        <w:ind w:left="720" w:right="720"/>
        <w:jc w:val="both"/>
        <w:rPr>
          <w:rFonts w:ascii="Cambria" w:hAnsi="Cambria" w:cs="Times New Roman"/>
        </w:rPr>
      </w:pPr>
      <w:r>
        <w:rPr>
          <w:rFonts w:ascii="Cambria" w:hAnsi="Cambria" w:cs="Times New Roman"/>
        </w:rPr>
        <w:t xml:space="preserve">This is he who exterminated wars both of the open kind and of the covert which are brought about by the raids of brigands. This is he who cleared the sea of pirate ships and filled it with merchant </w:t>
      </w:r>
      <w:r w:rsidR="00BD270E">
        <w:rPr>
          <w:rFonts w:ascii="Cambria" w:hAnsi="Cambria" w:cs="Times New Roman"/>
        </w:rPr>
        <w:t>vessels.  This is he who reclaimed every state to liberty,</w:t>
      </w:r>
      <w:r>
        <w:rPr>
          <w:rFonts w:ascii="Cambria" w:hAnsi="Cambria" w:cs="Times New Roman"/>
        </w:rPr>
        <w:t xml:space="preserve"> who led disorder into order</w:t>
      </w:r>
      <w:r w:rsidR="00BD270E">
        <w:rPr>
          <w:rFonts w:ascii="Cambria" w:hAnsi="Cambria" w:cs="Times New Roman"/>
        </w:rPr>
        <w:t xml:space="preserve"> (</w:t>
      </w:r>
      <w:r w:rsidR="00BD270E">
        <w:rPr>
          <w:rFonts w:ascii="Gentium Plus" w:hAnsi="Gentium Plus" w:cs="Times New Roman"/>
          <w:lang w:val="el-GR"/>
        </w:rPr>
        <w:t>ὁ τὴν ἀταξίαν εἰς τάξιν ἀγαγών</w:t>
      </w:r>
      <w:r w:rsidR="00BD270E">
        <w:rPr>
          <w:rFonts w:ascii="Cambria" w:hAnsi="Cambria" w:cs="Times New Roman"/>
        </w:rPr>
        <w:t>)</w:t>
      </w:r>
      <w:r>
        <w:rPr>
          <w:rFonts w:ascii="Cambria" w:hAnsi="Cambria" w:cs="Times New Roman"/>
        </w:rPr>
        <w:t xml:space="preserve"> and brought gentle manners and harmony to all unsociable and brutish nations</w:t>
      </w:r>
      <w:r w:rsidR="00BD270E">
        <w:rPr>
          <w:rFonts w:ascii="Cambria" w:hAnsi="Cambria" w:cs="Times New Roman"/>
        </w:rPr>
        <w:t>, who enlarged Hellas by many a new Hellas and Hellenized the outside world, in its most important regions – the guardian of peace (</w:t>
      </w:r>
      <w:r w:rsidR="00BD270E">
        <w:rPr>
          <w:rFonts w:ascii="Gentium Plus" w:hAnsi="Gentium Plus" w:cs="Times New Roman"/>
          <w:lang w:val="el-GR"/>
        </w:rPr>
        <w:t>ὁ εἰρηνοφύλαξ</w:t>
      </w:r>
      <w:r w:rsidR="00BD270E">
        <w:rPr>
          <w:rFonts w:ascii="Cambria" w:hAnsi="Cambria" w:cs="Times New Roman"/>
        </w:rPr>
        <w:t>).</w:t>
      </w:r>
    </w:p>
    <w:p w14:paraId="5B860D9E" w14:textId="77777777" w:rsidR="00BD270E" w:rsidRDefault="00BD270E" w:rsidP="00BD270E">
      <w:pPr>
        <w:ind w:firstLine="720"/>
        <w:jc w:val="both"/>
        <w:rPr>
          <w:bCs/>
        </w:rPr>
      </w:pPr>
    </w:p>
    <w:p w14:paraId="187C51F1" w14:textId="7934ECF9" w:rsidR="00986DEA" w:rsidRDefault="005F76AB" w:rsidP="00F2760A">
      <w:pPr>
        <w:spacing w:line="480" w:lineRule="auto"/>
        <w:ind w:firstLine="720"/>
        <w:jc w:val="both"/>
        <w:rPr>
          <w:bCs/>
        </w:rPr>
      </w:pPr>
      <w:r>
        <w:rPr>
          <w:bCs/>
        </w:rPr>
        <w:t xml:space="preserve">Peace and harmony through pacification led to the poets’ consistent depiction of </w:t>
      </w:r>
      <w:r w:rsidR="00EB3A73">
        <w:rPr>
          <w:bCs/>
        </w:rPr>
        <w:t>the emperors’ reign as resulting in fertility and abundance, that is, as symbolizing the “divinely ordained product of the natural order of the universe.”</w:t>
      </w:r>
      <w:r w:rsidR="00EB3A73">
        <w:rPr>
          <w:rStyle w:val="FootnoteReference"/>
          <w:bCs/>
        </w:rPr>
        <w:footnoteReference w:id="193"/>
      </w:r>
      <w:r w:rsidR="00710CEC">
        <w:rPr>
          <w:bCs/>
        </w:rPr>
        <w:t xml:space="preserve"> </w:t>
      </w:r>
      <w:r>
        <w:rPr>
          <w:bCs/>
        </w:rPr>
        <w:t>The ruler’s kingship was celebrated and legitimized through roya</w:t>
      </w:r>
      <w:r w:rsidR="00EB3A73">
        <w:rPr>
          <w:bCs/>
        </w:rPr>
        <w:t>l iconography.  For example, as an honor for his pacification of Spain and Gaul, a military expedition that lasted over three years, “the senate decreed that an altar of the Augustan Peace should be consecrated next to the Campus Martius in honor of my [Augustus’] return” (</w:t>
      </w:r>
      <w:r w:rsidR="00EB3A73" w:rsidRPr="00EB3A73">
        <w:rPr>
          <w:bCs/>
          <w:i/>
        </w:rPr>
        <w:t>Res Gestae</w:t>
      </w:r>
      <w:r w:rsidR="00EB3A73">
        <w:rPr>
          <w:bCs/>
        </w:rPr>
        <w:t xml:space="preserve"> 12.2).  The </w:t>
      </w:r>
      <w:r w:rsidR="00EB3A73" w:rsidRPr="00EB3A73">
        <w:rPr>
          <w:bCs/>
          <w:i/>
          <w:iCs/>
        </w:rPr>
        <w:t>Ara Pacis</w:t>
      </w:r>
      <w:r w:rsidR="00EB3A73">
        <w:rPr>
          <w:bCs/>
        </w:rPr>
        <w:t xml:space="preserve"> is </w:t>
      </w:r>
      <w:r w:rsidR="005B43C0">
        <w:rPr>
          <w:bCs/>
        </w:rPr>
        <w:t>related</w:t>
      </w:r>
      <w:r w:rsidR="00EB3A73">
        <w:rPr>
          <w:bCs/>
        </w:rPr>
        <w:t xml:space="preserve"> </w:t>
      </w:r>
      <w:r w:rsidR="005B43C0">
        <w:rPr>
          <w:bCs/>
        </w:rPr>
        <w:t>to</w:t>
      </w:r>
      <w:r w:rsidR="00EB3A73">
        <w:rPr>
          <w:bCs/>
        </w:rPr>
        <w:t xml:space="preserve"> the decision to shut the gates of the Temple of Janus, a symbolic act celebrating peace and the absence of war, and thereby the altar is “linked with the concept that peace is the result of military victories which secure the </w:t>
      </w:r>
      <w:r w:rsidR="00EB3A73" w:rsidRPr="00EB3A73">
        <w:rPr>
          <w:bCs/>
          <w:i/>
          <w:iCs/>
        </w:rPr>
        <w:t>imperium Romanum</w:t>
      </w:r>
      <w:r w:rsidR="00EB3A73">
        <w:rPr>
          <w:bCs/>
        </w:rPr>
        <w:t xml:space="preserve"> on land and sea.”</w:t>
      </w:r>
      <w:r w:rsidR="00EB3A73">
        <w:rPr>
          <w:rStyle w:val="FootnoteReference"/>
          <w:bCs/>
        </w:rPr>
        <w:footnoteReference w:id="194"/>
      </w:r>
      <w:r w:rsidR="0006264D">
        <w:rPr>
          <w:bCs/>
        </w:rPr>
        <w:t xml:space="preserve">  Similarly, the Sebasteion in Aphrodisias</w:t>
      </w:r>
      <w:r w:rsidR="005B43C0">
        <w:rPr>
          <w:bCs/>
        </w:rPr>
        <w:t xml:space="preserve"> celebrates peace through pacification as it personifies foreign nations as subjugated </w:t>
      </w:r>
      <w:r w:rsidR="00F26DA2">
        <w:rPr>
          <w:bCs/>
        </w:rPr>
        <w:t>women</w:t>
      </w:r>
      <w:r w:rsidR="005B43C0">
        <w:rPr>
          <w:bCs/>
        </w:rPr>
        <w:t xml:space="preserve"> underneath the rule of the Roman emperor.</w:t>
      </w:r>
      <w:r w:rsidR="005B43C0">
        <w:rPr>
          <w:rStyle w:val="FootnoteReference"/>
          <w:bCs/>
        </w:rPr>
        <w:footnoteReference w:id="195"/>
      </w:r>
    </w:p>
    <w:p w14:paraId="3B664499" w14:textId="159ECA7C" w:rsidR="00175275" w:rsidRPr="00EB3A73" w:rsidRDefault="00175275" w:rsidP="00F2760A">
      <w:pPr>
        <w:spacing w:line="480" w:lineRule="auto"/>
        <w:ind w:firstLine="720"/>
        <w:jc w:val="both"/>
        <w:rPr>
          <w:bCs/>
        </w:rPr>
      </w:pPr>
      <w:r>
        <w:rPr>
          <w:bCs/>
        </w:rPr>
        <w:t>Thus</w:t>
      </w:r>
      <w:r w:rsidR="00734660">
        <w:rPr>
          <w:bCs/>
        </w:rPr>
        <w:t xml:space="preserve">, the statement that Christ </w:t>
      </w:r>
      <w:r>
        <w:rPr>
          <w:bCs/>
        </w:rPr>
        <w:t>has produced cosmic harmony (“the things on earth and the things in heaven”) through his act of reconciling “all things” and bring</w:t>
      </w:r>
      <w:r w:rsidR="00C87214">
        <w:rPr>
          <w:bCs/>
        </w:rPr>
        <w:t>ing</w:t>
      </w:r>
      <w:r>
        <w:rPr>
          <w:bCs/>
        </w:rPr>
        <w:t xml:space="preserve"> peace is of one accord with ancient royal notions of a theology of victory.</w:t>
      </w:r>
      <w:r w:rsidR="00E94012">
        <w:rPr>
          <w:rStyle w:val="FootnoteReference"/>
          <w:bCs/>
        </w:rPr>
        <w:footnoteReference w:id="196"/>
      </w:r>
      <w:r w:rsidR="005914AE">
        <w:rPr>
          <w:bCs/>
        </w:rPr>
        <w:t xml:space="preserve">  That Paul portrays Christ according to this piece of kingship ideology is confirmed</w:t>
      </w:r>
      <w:r w:rsidR="00535B58">
        <w:rPr>
          <w:bCs/>
        </w:rPr>
        <w:t xml:space="preserve"> by Paul’s fuller depiction of Christ’s </w:t>
      </w:r>
      <w:r w:rsidR="00504104">
        <w:rPr>
          <w:bCs/>
        </w:rPr>
        <w:t>pacification</w:t>
      </w:r>
      <w:r w:rsidR="00535B58">
        <w:rPr>
          <w:bCs/>
        </w:rPr>
        <w:t xml:space="preserve"> of the “rulers and authorities” in Col. 2:15.</w:t>
      </w:r>
      <w:r w:rsidR="00535B58" w:rsidRPr="00535B58">
        <w:rPr>
          <w:bCs/>
        </w:rPr>
        <w:t xml:space="preserve"> </w:t>
      </w:r>
      <w:r w:rsidR="00535B58">
        <w:rPr>
          <w:bCs/>
        </w:rPr>
        <w:t xml:space="preserve">Christ, like a Roman </w:t>
      </w:r>
      <w:r w:rsidR="000B117B">
        <w:rPr>
          <w:bCs/>
        </w:rPr>
        <w:t>general or emperor</w:t>
      </w:r>
      <w:r w:rsidR="00535B58">
        <w:rPr>
          <w:bCs/>
        </w:rPr>
        <w:t>, first pacifies his enemies by “stripping” (</w:t>
      </w:r>
      <w:r w:rsidR="00535B58">
        <w:rPr>
          <w:rFonts w:ascii="Gentium Plus" w:hAnsi="Gentium Plus"/>
          <w:bCs/>
          <w:lang w:val="el-GR"/>
        </w:rPr>
        <w:t>ἀπεκδυσάμενος</w:t>
      </w:r>
      <w:r w:rsidR="00535B58">
        <w:rPr>
          <w:bCs/>
        </w:rPr>
        <w:t xml:space="preserve">) them of their authority and then celebrates a triumph </w:t>
      </w:r>
      <w:r w:rsidR="000B117B">
        <w:rPr>
          <w:bCs/>
        </w:rPr>
        <w:t xml:space="preserve">over the rebellious rulers </w:t>
      </w:r>
      <w:r w:rsidR="00535B58">
        <w:rPr>
          <w:bCs/>
        </w:rPr>
        <w:t>(</w:t>
      </w:r>
      <w:r w:rsidR="00535B58">
        <w:rPr>
          <w:rFonts w:ascii="Gentium Plus" w:hAnsi="Gentium Plus"/>
          <w:bCs/>
          <w:lang w:val="el-GR"/>
        </w:rPr>
        <w:t>θριαμβεύσας αὐτούς</w:t>
      </w:r>
      <w:r w:rsidR="000B117B">
        <w:rPr>
          <w:bCs/>
        </w:rPr>
        <w:t>)</w:t>
      </w:r>
      <w:r w:rsidR="00535B58">
        <w:rPr>
          <w:bCs/>
        </w:rPr>
        <w:t>.</w:t>
      </w:r>
      <w:r w:rsidR="00535B58">
        <w:rPr>
          <w:rStyle w:val="FootnoteReference"/>
          <w:bCs/>
        </w:rPr>
        <w:footnoteReference w:id="197"/>
      </w:r>
      <w:r w:rsidR="00504104">
        <w:rPr>
          <w:bCs/>
        </w:rPr>
        <w:t xml:space="preserve"> The celebration of a triumph was a hotly pursued honor by generals and emperors, and it is well documented those victors who celebrated the triumph were</w:t>
      </w:r>
      <w:r w:rsidR="00CA311C">
        <w:rPr>
          <w:bCs/>
        </w:rPr>
        <w:t xml:space="preserve"> seen as receiving divine </w:t>
      </w:r>
      <w:r w:rsidR="00504104">
        <w:rPr>
          <w:bCs/>
        </w:rPr>
        <w:t>honor</w:t>
      </w:r>
      <w:r w:rsidR="00CA311C">
        <w:rPr>
          <w:bCs/>
        </w:rPr>
        <w:t>s</w:t>
      </w:r>
      <w:r w:rsidR="00794007">
        <w:rPr>
          <w:bCs/>
        </w:rPr>
        <w:t xml:space="preserve"> and in some manner a manifestation of Jupiter </w:t>
      </w:r>
      <w:r w:rsidR="00545664">
        <w:rPr>
          <w:bCs/>
        </w:rPr>
        <w:t>(e.g., Livy 10.7.10; 5.23.25; S</w:t>
      </w:r>
      <w:r w:rsidR="00794007">
        <w:rPr>
          <w:bCs/>
        </w:rPr>
        <w:t>u</w:t>
      </w:r>
      <w:r w:rsidR="00545664">
        <w:rPr>
          <w:bCs/>
        </w:rPr>
        <w:t>e</w:t>
      </w:r>
      <w:r w:rsidR="00794007">
        <w:rPr>
          <w:bCs/>
        </w:rPr>
        <w:t xml:space="preserve">tonius, </w:t>
      </w:r>
      <w:r w:rsidR="00794007" w:rsidRPr="00794007">
        <w:rPr>
          <w:bCs/>
          <w:i/>
          <w:iCs/>
        </w:rPr>
        <w:t>Augustus</w:t>
      </w:r>
      <w:r w:rsidR="00794007">
        <w:rPr>
          <w:bCs/>
        </w:rPr>
        <w:t xml:space="preserve"> 94; Pliny, </w:t>
      </w:r>
      <w:r w:rsidR="00794007" w:rsidRPr="00794007">
        <w:rPr>
          <w:bCs/>
          <w:i/>
          <w:iCs/>
        </w:rPr>
        <w:t>Natural History</w:t>
      </w:r>
      <w:r w:rsidR="00794007">
        <w:rPr>
          <w:bCs/>
        </w:rPr>
        <w:t xml:space="preserve"> 33.111; 35.157; Plutarch, </w:t>
      </w:r>
      <w:r w:rsidR="00794007" w:rsidRPr="00794007">
        <w:rPr>
          <w:bCs/>
          <w:i/>
          <w:iCs/>
        </w:rPr>
        <w:t>Camillus</w:t>
      </w:r>
      <w:r w:rsidR="00794007">
        <w:rPr>
          <w:bCs/>
        </w:rPr>
        <w:t xml:space="preserve"> 7)</w:t>
      </w:r>
      <w:r w:rsidR="00504104">
        <w:rPr>
          <w:bCs/>
        </w:rPr>
        <w:t>.</w:t>
      </w:r>
      <w:r w:rsidR="00CA311C">
        <w:rPr>
          <w:rStyle w:val="FootnoteReference"/>
          <w:bCs/>
        </w:rPr>
        <w:footnoteReference w:id="198"/>
      </w:r>
      <w:r w:rsidR="00504104">
        <w:rPr>
          <w:bCs/>
        </w:rPr>
        <w:t xml:space="preserve">  Again, powerful benefactions elicited divine honors, and so by portraying Christ as celebrating a triumph for his mighty victory over the powers</w:t>
      </w:r>
      <w:r w:rsidR="00535B58">
        <w:rPr>
          <w:bCs/>
        </w:rPr>
        <w:t xml:space="preserve"> </w:t>
      </w:r>
      <w:r w:rsidR="00504104">
        <w:rPr>
          <w:bCs/>
        </w:rPr>
        <w:t xml:space="preserve">Paul indicates that Christ the King is worthy of receiving divine glory. </w:t>
      </w:r>
      <w:r w:rsidR="000B117B">
        <w:rPr>
          <w:bCs/>
        </w:rPr>
        <w:t xml:space="preserve">This imperial </w:t>
      </w:r>
      <w:r w:rsidR="00E94012">
        <w:rPr>
          <w:bCs/>
        </w:rPr>
        <w:t>pacification of the rebellious</w:t>
      </w:r>
      <w:r w:rsidR="000B117B">
        <w:rPr>
          <w:bCs/>
        </w:rPr>
        <w:t xml:space="preserve"> rulers </w:t>
      </w:r>
      <w:r w:rsidR="00E94012">
        <w:rPr>
          <w:bCs/>
        </w:rPr>
        <w:t>(2:15) is, in fact, presupposed by the celebration of the cosmic harmony in the hymn (1:20).</w:t>
      </w:r>
      <w:r w:rsidR="00295C58">
        <w:rPr>
          <w:rStyle w:val="FootnoteReference"/>
          <w:bCs/>
        </w:rPr>
        <w:footnoteReference w:id="199"/>
      </w:r>
      <w:r w:rsidR="00E94012">
        <w:rPr>
          <w:bCs/>
        </w:rPr>
        <w:t xml:space="preserve"> </w:t>
      </w:r>
      <w:r w:rsidR="00535B58">
        <w:rPr>
          <w:bCs/>
        </w:rPr>
        <w:t xml:space="preserve"> All of creation, then, is a state of cosmic peace and harmony through the work of God’s king who has pacified every rebellious authority.</w:t>
      </w:r>
      <w:r w:rsidR="0046483D">
        <w:rPr>
          <w:bCs/>
        </w:rPr>
        <w:t xml:space="preserve"> </w:t>
      </w:r>
      <w:r w:rsidR="00295C58">
        <w:rPr>
          <w:bCs/>
        </w:rPr>
        <w:t>That the harmony on earth now mimics and matches the heavenly harmony of God through the elected king’s pacification of the rebels is an imperial</w:t>
      </w:r>
      <w:r w:rsidR="000E4E7D">
        <w:rPr>
          <w:bCs/>
        </w:rPr>
        <w:t xml:space="preserve"> commonplace (see throughout</w:t>
      </w:r>
      <w:r w:rsidR="00295C58">
        <w:rPr>
          <w:bCs/>
        </w:rPr>
        <w:t>).</w:t>
      </w:r>
      <w:r w:rsidR="0046483D">
        <w:rPr>
          <w:bCs/>
        </w:rPr>
        <w:t xml:space="preserve"> What, of course, can</w:t>
      </w:r>
      <w:r w:rsidR="00295C58">
        <w:rPr>
          <w:bCs/>
        </w:rPr>
        <w:t>not</w:t>
      </w:r>
      <w:r w:rsidR="0046483D">
        <w:rPr>
          <w:bCs/>
        </w:rPr>
        <w:t xml:space="preserve"> be paralleled in </w:t>
      </w:r>
      <w:r w:rsidR="00295C58">
        <w:rPr>
          <w:bCs/>
        </w:rPr>
        <w:t>any</w:t>
      </w:r>
      <w:r w:rsidR="0046483D">
        <w:rPr>
          <w:bCs/>
        </w:rPr>
        <w:t xml:space="preserve"> ancient kingship document is the means whereby Christ enacted this pacification – “through the blood of his cross” (</w:t>
      </w:r>
      <w:r w:rsidR="0046483D">
        <w:rPr>
          <w:rFonts w:ascii="Gentium Plus" w:hAnsi="Gentium Plus"/>
          <w:bCs/>
          <w:lang w:val="el-GR"/>
        </w:rPr>
        <w:t>διά αἵματος τοῦ σταυροῦ αὐτοῦ</w:t>
      </w:r>
      <w:r w:rsidR="0046483D">
        <w:rPr>
          <w:bCs/>
        </w:rPr>
        <w:t xml:space="preserve">, 1:20; cf. </w:t>
      </w:r>
      <w:r w:rsidR="0046483D">
        <w:rPr>
          <w:rFonts w:ascii="Gentium Plus" w:hAnsi="Gentium Plus"/>
          <w:bCs/>
          <w:lang w:val="el-GR"/>
        </w:rPr>
        <w:t>ἐν αὐτῷ</w:t>
      </w:r>
      <w:r w:rsidR="0046483D">
        <w:rPr>
          <w:bCs/>
        </w:rPr>
        <w:t xml:space="preserve">, 2:15). The royal victory and conquest of the evil powers occurs, then, not through violent wars but through the king’s own suffering unto death.  Through the blood </w:t>
      </w:r>
      <w:r w:rsidR="00C177ED">
        <w:rPr>
          <w:bCs/>
        </w:rPr>
        <w:t xml:space="preserve">of </w:t>
      </w:r>
      <w:r w:rsidR="0046483D">
        <w:rPr>
          <w:bCs/>
        </w:rPr>
        <w:t>the cross, Christ extends his peaceful dominion over the entire cosmos.</w:t>
      </w:r>
    </w:p>
    <w:p w14:paraId="3AE13617" w14:textId="118E859C" w:rsidR="00BC49A6" w:rsidRDefault="00CF6785" w:rsidP="00BC49A6">
      <w:pPr>
        <w:spacing w:line="480" w:lineRule="auto"/>
        <w:jc w:val="center"/>
        <w:rPr>
          <w:bCs/>
          <w:u w:val="single"/>
        </w:rPr>
      </w:pPr>
      <w:r>
        <w:rPr>
          <w:bCs/>
          <w:u w:val="single"/>
        </w:rPr>
        <w:t xml:space="preserve">III. The Development of </w:t>
      </w:r>
      <w:r w:rsidR="001C16DA">
        <w:rPr>
          <w:bCs/>
          <w:u w:val="single"/>
        </w:rPr>
        <w:t>Pauline</w:t>
      </w:r>
      <w:r>
        <w:rPr>
          <w:bCs/>
          <w:u w:val="single"/>
        </w:rPr>
        <w:t xml:space="preserve"> Christology and</w:t>
      </w:r>
      <w:r w:rsidR="00BC49A6">
        <w:rPr>
          <w:bCs/>
          <w:u w:val="single"/>
        </w:rPr>
        <w:t xml:space="preserve"> Sharing in the Rule of the King</w:t>
      </w:r>
    </w:p>
    <w:p w14:paraId="63D979D1" w14:textId="7E86A0FD" w:rsidR="00CF6785" w:rsidRDefault="005F45EB" w:rsidP="005F45EB">
      <w:pPr>
        <w:spacing w:line="480" w:lineRule="auto"/>
        <w:jc w:val="both"/>
        <w:rPr>
          <w:bCs/>
        </w:rPr>
      </w:pPr>
      <w:r>
        <w:rPr>
          <w:bCs/>
        </w:rPr>
        <w:t>If my argument</w:t>
      </w:r>
      <w:r w:rsidR="004C289D">
        <w:rPr>
          <w:bCs/>
        </w:rPr>
        <w:t xml:space="preserve"> is broadly correct</w:t>
      </w:r>
      <w:r>
        <w:rPr>
          <w:bCs/>
        </w:rPr>
        <w:t>, that Paul constructs in Col. 1:15 a</w:t>
      </w:r>
      <w:r w:rsidRPr="005F45EB">
        <w:rPr>
          <w:rFonts w:ascii="Gentium Plus" w:hAnsi="Gentium Plus"/>
          <w:lang w:val="el-GR"/>
        </w:rPr>
        <w:t xml:space="preserve"> </w:t>
      </w:r>
      <w:r>
        <w:rPr>
          <w:rFonts w:ascii="Gentium Plus" w:hAnsi="Gentium Plus"/>
          <w:lang w:val="el-GR"/>
        </w:rPr>
        <w:t>ὁ βασιλικὸς λόγος</w:t>
      </w:r>
      <w:r>
        <w:rPr>
          <w:bCs/>
        </w:rPr>
        <w:t xml:space="preserve"> that uses the linguistic resources of both Jewish-Davidic and Hellenistic K</w:t>
      </w:r>
      <w:r w:rsidR="004C289D">
        <w:rPr>
          <w:bCs/>
        </w:rPr>
        <w:t xml:space="preserve">ingship ideology, </w:t>
      </w:r>
      <w:r>
        <w:rPr>
          <w:bCs/>
        </w:rPr>
        <w:t xml:space="preserve">then at least two significant conclusions follow, one historical </w:t>
      </w:r>
      <w:r w:rsidR="00CF6785">
        <w:rPr>
          <w:bCs/>
        </w:rPr>
        <w:t xml:space="preserve">and related to the development of early Christian christology, </w:t>
      </w:r>
      <w:r>
        <w:rPr>
          <w:bCs/>
        </w:rPr>
        <w:t>and the other literary</w:t>
      </w:r>
      <w:r w:rsidR="00CF6785">
        <w:rPr>
          <w:bCs/>
        </w:rPr>
        <w:t xml:space="preserve"> and indicating the rhetorical function of Paul’s royal Christ-hymn.</w:t>
      </w:r>
    </w:p>
    <w:p w14:paraId="76A1931B" w14:textId="10117261" w:rsidR="00CF6785" w:rsidRPr="00C352E4" w:rsidRDefault="00CF6785" w:rsidP="00CF6785">
      <w:pPr>
        <w:spacing w:line="480" w:lineRule="auto"/>
        <w:jc w:val="center"/>
        <w:rPr>
          <w:bCs/>
          <w:i/>
          <w:u w:val="single"/>
        </w:rPr>
      </w:pPr>
      <w:r w:rsidRPr="00C352E4">
        <w:rPr>
          <w:bCs/>
          <w:i/>
          <w:u w:val="single"/>
        </w:rPr>
        <w:t>a. Pauline Christology and Ancient Kingship Ideology</w:t>
      </w:r>
    </w:p>
    <w:p w14:paraId="108F0564" w14:textId="2ECCE1A6" w:rsidR="00CF6785" w:rsidRDefault="00095F42" w:rsidP="00CF6785">
      <w:pPr>
        <w:spacing w:line="480" w:lineRule="auto"/>
        <w:jc w:val="both"/>
        <w:rPr>
          <w:bCs/>
        </w:rPr>
      </w:pPr>
      <w:r>
        <w:rPr>
          <w:bCs/>
        </w:rPr>
        <w:t>T</w:t>
      </w:r>
      <w:r w:rsidR="005F45EB">
        <w:rPr>
          <w:bCs/>
        </w:rPr>
        <w:t>he historical implication of my investigation suggests that ancient reflections upon the king played a significant role in Paul’s affirmation of the deity of Christ.</w:t>
      </w:r>
      <w:r w:rsidR="00195219">
        <w:rPr>
          <w:bCs/>
        </w:rPr>
        <w:t xml:space="preserve">  In Paul’s christology there is an incredible overlap between the identities, titles, and functions of God and Jesus.</w:t>
      </w:r>
      <w:r w:rsidR="00195219">
        <w:rPr>
          <w:rStyle w:val="FootnoteReference"/>
          <w:bCs/>
        </w:rPr>
        <w:footnoteReference w:id="200"/>
      </w:r>
      <w:r w:rsidR="00195219">
        <w:rPr>
          <w:bCs/>
        </w:rPr>
        <w:t xml:space="preserve"> </w:t>
      </w:r>
      <w:r>
        <w:rPr>
          <w:bCs/>
        </w:rPr>
        <w:t xml:space="preserve"> The </w:t>
      </w:r>
      <w:r w:rsidR="00195219">
        <w:rPr>
          <w:bCs/>
        </w:rPr>
        <w:t>frequent</w:t>
      </w:r>
      <w:r>
        <w:rPr>
          <w:bCs/>
        </w:rPr>
        <w:t xml:space="preserve"> assimilation of kings an</w:t>
      </w:r>
      <w:r w:rsidR="00195219">
        <w:rPr>
          <w:bCs/>
        </w:rPr>
        <w:t>d emperors to gods in the ruler/</w:t>
      </w:r>
      <w:r>
        <w:rPr>
          <w:bCs/>
        </w:rPr>
        <w:t xml:space="preserve">emperor cults which allowed them to receive divine honors and worship, including hymns and encomia, is remarkably similar to what we find in Col. 1:15 – 20 – a royal hymn celebrating Christ the king as the vicegerent of God who creates and rules the cosmos and restores the cosmos to a state of peace. </w:t>
      </w:r>
    </w:p>
    <w:p w14:paraId="1E6E4FA6" w14:textId="56A1D325" w:rsidR="00053CE1" w:rsidRDefault="00F81C7D" w:rsidP="00CF6785">
      <w:pPr>
        <w:spacing w:line="480" w:lineRule="auto"/>
        <w:ind w:firstLine="720"/>
        <w:jc w:val="both"/>
        <w:rPr>
          <w:bCs/>
        </w:rPr>
      </w:pPr>
      <w:r>
        <w:rPr>
          <w:bCs/>
        </w:rPr>
        <w:t>The claims that Christ is the creator of all things (1:16), temporally before all things (1:17a), was chosen to have all the divine fullness dwell within him (1:19), and the agent who has produced cosmic peace and harmony (1:20) are, indeed, remarkable, complicated, and cannot be accounted for by simply pointing toward one religious context or background.  Yet these incredible claims about Jesus of Nazareth are explicable within the royal notions of the king as the one who s</w:t>
      </w:r>
      <w:r w:rsidR="00CF6785">
        <w:rPr>
          <w:bCs/>
        </w:rPr>
        <w:t>hares the throne of God (LXX</w:t>
      </w:r>
      <w:r w:rsidR="00721326">
        <w:rPr>
          <w:bCs/>
        </w:rPr>
        <w:t xml:space="preserve"> Psalms 44:7;</w:t>
      </w:r>
      <w:r>
        <w:rPr>
          <w:bCs/>
        </w:rPr>
        <w:t xml:space="preserve"> 109</w:t>
      </w:r>
      <w:r w:rsidR="00721326">
        <w:rPr>
          <w:bCs/>
        </w:rPr>
        <w:t>:1-3</w:t>
      </w:r>
      <w:r w:rsidR="00CF6785">
        <w:rPr>
          <w:bCs/>
        </w:rPr>
        <w:t>), is a son of God (Psalm</w:t>
      </w:r>
      <w:r>
        <w:rPr>
          <w:bCs/>
        </w:rPr>
        <w:t xml:space="preserve"> 2:6-8) or son of Zeus (Isocrates, </w:t>
      </w:r>
      <w:r w:rsidRPr="00F81C7D">
        <w:rPr>
          <w:bCs/>
          <w:i/>
          <w:iCs/>
        </w:rPr>
        <w:t>Evagoras</w:t>
      </w:r>
      <w:r>
        <w:rPr>
          <w:bCs/>
        </w:rPr>
        <w:t xml:space="preserve"> 13-14, 72</w:t>
      </w:r>
      <w:r w:rsidR="00F50D19">
        <w:rPr>
          <w:bCs/>
        </w:rPr>
        <w:t xml:space="preserve">; Callimachus </w:t>
      </w:r>
      <w:r w:rsidR="00F50D19" w:rsidRPr="00F50D19">
        <w:rPr>
          <w:bCs/>
          <w:i/>
          <w:iCs/>
        </w:rPr>
        <w:t>Hymn to Zeus</w:t>
      </w:r>
      <w:r w:rsidR="00F50D19">
        <w:rPr>
          <w:bCs/>
        </w:rPr>
        <w:t xml:space="preserve"> 69-79; Theocritus, </w:t>
      </w:r>
      <w:r w:rsidR="00F50D19">
        <w:rPr>
          <w:bCs/>
          <w:i/>
        </w:rPr>
        <w:t>Idyll</w:t>
      </w:r>
      <w:r w:rsidR="00F50D19">
        <w:rPr>
          <w:bCs/>
        </w:rPr>
        <w:t xml:space="preserve"> 17.1-4</w:t>
      </w:r>
      <w:r>
        <w:rPr>
          <w:bCs/>
        </w:rPr>
        <w:t>), elected by God to stabilize and rule earth on his behalf (</w:t>
      </w:r>
      <w:r w:rsidR="00F50D19">
        <w:rPr>
          <w:bCs/>
        </w:rPr>
        <w:t>L</w:t>
      </w:r>
      <w:r w:rsidR="00CF6785">
        <w:rPr>
          <w:bCs/>
        </w:rPr>
        <w:t>XX Psalms 71:8-11;</w:t>
      </w:r>
      <w:r w:rsidR="00F50D19">
        <w:rPr>
          <w:bCs/>
        </w:rPr>
        <w:t xml:space="preserve"> 88</w:t>
      </w:r>
      <w:r w:rsidR="00CF6785">
        <w:rPr>
          <w:bCs/>
        </w:rPr>
        <w:t>:25-30</w:t>
      </w:r>
      <w:r w:rsidR="00F50D19">
        <w:rPr>
          <w:bCs/>
        </w:rPr>
        <w:t>;</w:t>
      </w:r>
      <w:r w:rsidR="00721326">
        <w:rPr>
          <w:bCs/>
        </w:rPr>
        <w:t xml:space="preserve"> Horace,</w:t>
      </w:r>
      <w:r w:rsidR="00721326" w:rsidRPr="00721326">
        <w:rPr>
          <w:rFonts w:ascii="Cambria" w:hAnsi="Cambria" w:cs="Times New Roman"/>
          <w:i/>
          <w:iCs/>
        </w:rPr>
        <w:t xml:space="preserve"> </w:t>
      </w:r>
      <w:r w:rsidR="00721326" w:rsidRPr="00115C53">
        <w:rPr>
          <w:rFonts w:ascii="Cambria" w:hAnsi="Cambria" w:cs="Times New Roman"/>
          <w:i/>
          <w:iCs/>
        </w:rPr>
        <w:t>Carmen Saeculare</w:t>
      </w:r>
      <w:r w:rsidR="00721326">
        <w:rPr>
          <w:bCs/>
        </w:rPr>
        <w:t xml:space="preserve">; </w:t>
      </w:r>
      <w:r w:rsidR="00F50D19">
        <w:rPr>
          <w:bCs/>
        </w:rPr>
        <w:t xml:space="preserve">Pliny, </w:t>
      </w:r>
      <w:r w:rsidR="00F50D19" w:rsidRPr="00F50D19">
        <w:rPr>
          <w:bCs/>
          <w:i/>
          <w:iCs/>
        </w:rPr>
        <w:t>Panegyricus</w:t>
      </w:r>
      <w:r w:rsidR="00721326">
        <w:rPr>
          <w:bCs/>
          <w:iCs/>
        </w:rPr>
        <w:t xml:space="preserve"> 4.4-9; 5.6; 80.3</w:t>
      </w:r>
      <w:r>
        <w:rPr>
          <w:bCs/>
        </w:rPr>
        <w:t>)</w:t>
      </w:r>
      <w:r w:rsidR="00F50D19">
        <w:rPr>
          <w:bCs/>
        </w:rPr>
        <w:t>, the giver of god-like benefactions of peace and harmony (</w:t>
      </w:r>
      <w:r w:rsidR="00F50D19">
        <w:t xml:space="preserve">Athenaeus, </w:t>
      </w:r>
      <w:r w:rsidR="00F50D19" w:rsidRPr="00A673AB">
        <w:rPr>
          <w:i/>
          <w:iCs/>
        </w:rPr>
        <w:t>Deipnosophistae</w:t>
      </w:r>
      <w:r w:rsidR="00F50D19">
        <w:t xml:space="preserve"> 6.253C</w:t>
      </w:r>
      <w:r w:rsidR="00F50D19">
        <w:rPr>
          <w:bCs/>
        </w:rPr>
        <w:t xml:space="preserve">; Plutarch, </w:t>
      </w:r>
      <w:r w:rsidR="00F50D19" w:rsidRPr="00F50D19">
        <w:rPr>
          <w:bCs/>
          <w:i/>
          <w:iCs/>
        </w:rPr>
        <w:t>Lysander</w:t>
      </w:r>
      <w:r w:rsidR="00F50D19">
        <w:rPr>
          <w:bCs/>
        </w:rPr>
        <w:t xml:space="preserve"> 18.2-4; Augustus, </w:t>
      </w:r>
      <w:r w:rsidR="00F50D19" w:rsidRPr="00F50D19">
        <w:rPr>
          <w:bCs/>
          <w:i/>
          <w:iCs/>
        </w:rPr>
        <w:t>Res Gestae</w:t>
      </w:r>
      <w:r w:rsidR="00F50D19">
        <w:rPr>
          <w:bCs/>
        </w:rPr>
        <w:t xml:space="preserve">, 1; Philo, </w:t>
      </w:r>
      <w:r w:rsidR="00F50D19" w:rsidRPr="00F50D19">
        <w:rPr>
          <w:bCs/>
          <w:i/>
          <w:iCs/>
        </w:rPr>
        <w:t>Embassy to Gaius</w:t>
      </w:r>
      <w:r w:rsidR="00F50D19">
        <w:rPr>
          <w:bCs/>
        </w:rPr>
        <w:t xml:space="preserve"> 149-151</w:t>
      </w:r>
      <w:r w:rsidR="00721326">
        <w:rPr>
          <w:bCs/>
        </w:rPr>
        <w:t xml:space="preserve">; Horace, </w:t>
      </w:r>
      <w:r w:rsidR="00721326" w:rsidRPr="00721326">
        <w:rPr>
          <w:bCs/>
          <w:i/>
          <w:iCs/>
        </w:rPr>
        <w:t>Ode</w:t>
      </w:r>
      <w:r w:rsidR="00721326">
        <w:rPr>
          <w:bCs/>
        </w:rPr>
        <w:t xml:space="preserve">, </w:t>
      </w:r>
      <w:r w:rsidR="00721326">
        <w:rPr>
          <w:rFonts w:ascii="Cambria" w:hAnsi="Cambria" w:cs="Times New Roman"/>
        </w:rPr>
        <w:t>4.5.33-36</w:t>
      </w:r>
      <w:r w:rsidR="00F50D19">
        <w:rPr>
          <w:bCs/>
        </w:rPr>
        <w:t>), the gods’ victorious</w:t>
      </w:r>
      <w:r w:rsidR="00721326">
        <w:rPr>
          <w:bCs/>
        </w:rPr>
        <w:t xml:space="preserve"> general who subjugates rebellious enemies (</w:t>
      </w:r>
      <w:r w:rsidR="00721326">
        <w:t xml:space="preserve">Appian, </w:t>
      </w:r>
      <w:r w:rsidR="00721326" w:rsidRPr="009F7F5E">
        <w:rPr>
          <w:i/>
          <w:iCs/>
        </w:rPr>
        <w:t>Civil War</w:t>
      </w:r>
      <w:r w:rsidR="00721326">
        <w:t xml:space="preserve"> 2.146; Horace, </w:t>
      </w:r>
      <w:r w:rsidR="00721326">
        <w:rPr>
          <w:rFonts w:ascii="Cambria" w:hAnsi="Cambria" w:cs="Times New Roman"/>
          <w:i/>
        </w:rPr>
        <w:t>Ode</w:t>
      </w:r>
      <w:r w:rsidR="00721326">
        <w:rPr>
          <w:rFonts w:ascii="Cambria" w:hAnsi="Cambria" w:cs="Times New Roman"/>
        </w:rPr>
        <w:t xml:space="preserve"> 4.15.5-10</w:t>
      </w:r>
      <w:r w:rsidR="00721326">
        <w:rPr>
          <w:bCs/>
        </w:rPr>
        <w:t xml:space="preserve">), and is worthy of receiving divine honors and worship such as acclamations, hymns and encomia (Plutarch, </w:t>
      </w:r>
      <w:r w:rsidR="00721326" w:rsidRPr="00721326">
        <w:rPr>
          <w:bCs/>
          <w:i/>
          <w:iCs/>
        </w:rPr>
        <w:t>Lysander</w:t>
      </w:r>
      <w:r w:rsidR="00721326">
        <w:rPr>
          <w:bCs/>
        </w:rPr>
        <w:t xml:space="preserve">, 18.2-4; </w:t>
      </w:r>
      <w:r w:rsidR="00CF6785">
        <w:rPr>
          <w:bCs/>
        </w:rPr>
        <w:t xml:space="preserve">LXX Genesis 49:8-12; Numbers 23:21; </w:t>
      </w:r>
      <w:r w:rsidR="00CF6785">
        <w:rPr>
          <w:rFonts w:ascii="Cambria" w:hAnsi="Cambria" w:cs="Times New Roman"/>
        </w:rPr>
        <w:t>1 Chron. 29:20, 25;</w:t>
      </w:r>
      <w:r w:rsidR="00CF6785">
        <w:rPr>
          <w:bCs/>
        </w:rPr>
        <w:t xml:space="preserve"> Psalm</w:t>
      </w:r>
      <w:r w:rsidR="00721326">
        <w:rPr>
          <w:bCs/>
        </w:rPr>
        <w:t xml:space="preserve"> 44)</w:t>
      </w:r>
      <w:r w:rsidR="00CF6785">
        <w:rPr>
          <w:bCs/>
        </w:rPr>
        <w:t xml:space="preserve">.  </w:t>
      </w:r>
      <w:r w:rsidR="00C352E4">
        <w:rPr>
          <w:bCs/>
        </w:rPr>
        <w:t>The practice of praising and hymning kings, giving them divine honors for divine benefactions, provides a window into the development of the earliest Christian christology.  To state it baldly – the journey to Nicaea must traverse through kingship discourse.</w:t>
      </w:r>
    </w:p>
    <w:p w14:paraId="192E0FE1" w14:textId="6EBC4865" w:rsidR="00C352E4" w:rsidRDefault="00C352E4" w:rsidP="00C352E4">
      <w:pPr>
        <w:spacing w:line="480" w:lineRule="auto"/>
        <w:ind w:firstLine="720"/>
        <w:jc w:val="center"/>
        <w:rPr>
          <w:bCs/>
          <w:i/>
          <w:u w:val="single"/>
        </w:rPr>
      </w:pPr>
      <w:r>
        <w:rPr>
          <w:bCs/>
          <w:i/>
          <w:u w:val="single"/>
        </w:rPr>
        <w:t>b. Participating in the Rule of the King: The Rhetorical Function of Col. 1:15-20</w:t>
      </w:r>
    </w:p>
    <w:p w14:paraId="1723F1A0" w14:textId="77DAE06E" w:rsidR="00C352E4" w:rsidRDefault="00C352E4" w:rsidP="00C352E4">
      <w:pPr>
        <w:spacing w:line="480" w:lineRule="auto"/>
        <w:jc w:val="both"/>
        <w:rPr>
          <w:bCs/>
        </w:rPr>
      </w:pPr>
      <w:r>
        <w:rPr>
          <w:bCs/>
        </w:rPr>
        <w:t>Important as the religious context and ideas of Colossians 1:15-20 is, a convincing interpretation of the hymn must also indicate its rhetorical function, i.e., what work does the royal hymn do in terms of persuading the C</w:t>
      </w:r>
      <w:r w:rsidR="00307A65">
        <w:rPr>
          <w:bCs/>
        </w:rPr>
        <w:t>olossians to pursue a certain course of action?  Many</w:t>
      </w:r>
      <w:r w:rsidR="0023070E">
        <w:rPr>
          <w:bCs/>
        </w:rPr>
        <w:t xml:space="preserve"> interpreters</w:t>
      </w:r>
      <w:r w:rsidR="00307A65">
        <w:rPr>
          <w:bCs/>
        </w:rPr>
        <w:t xml:space="preserve"> have rightly recognized that throughout the rest of the epistle Paul draws upo</w:t>
      </w:r>
      <w:r w:rsidR="0023070E">
        <w:rPr>
          <w:bCs/>
        </w:rPr>
        <w:t>n the claims of the Christ-hymn</w:t>
      </w:r>
      <w:r w:rsidR="00307A65">
        <w:rPr>
          <w:bCs/>
        </w:rPr>
        <w:t xml:space="preserve"> </w:t>
      </w:r>
      <w:r w:rsidR="0023070E">
        <w:rPr>
          <w:bCs/>
        </w:rPr>
        <w:t>in order to construct a specific worldview or symbolic universe for the audience to inhabit</w:t>
      </w:r>
      <w:r w:rsidR="003B0D15">
        <w:rPr>
          <w:bCs/>
        </w:rPr>
        <w:t>,</w:t>
      </w:r>
      <w:r w:rsidR="003B0D15">
        <w:rPr>
          <w:rStyle w:val="FootnoteReference"/>
          <w:bCs/>
        </w:rPr>
        <w:footnoteReference w:id="201"/>
      </w:r>
      <w:r w:rsidR="003B0D15">
        <w:rPr>
          <w:bCs/>
        </w:rPr>
        <w:t xml:space="preserve"> and one which counters any fascination with lesser powers and authorities (e.g., 2:6-8, 16-23)</w:t>
      </w:r>
      <w:r w:rsidR="0023070E">
        <w:rPr>
          <w:bCs/>
        </w:rPr>
        <w:t>.</w:t>
      </w:r>
      <w:r w:rsidR="0023070E">
        <w:rPr>
          <w:rStyle w:val="FootnoteReference"/>
          <w:bCs/>
        </w:rPr>
        <w:footnoteReference w:id="202"/>
      </w:r>
      <w:r w:rsidR="0023070E">
        <w:rPr>
          <w:bCs/>
        </w:rPr>
        <w:t xml:space="preserve"> And this insight seems undeniable and even supported by Paul’s command to have “the speech about the Messiah” (</w:t>
      </w:r>
      <w:r w:rsidR="0023070E">
        <w:rPr>
          <w:rFonts w:ascii="Gentium Plus" w:hAnsi="Gentium Plus"/>
          <w:lang w:val="el-GR"/>
        </w:rPr>
        <w:t>ὁ λόγος τοῦ Χριστοῦ</w:t>
      </w:r>
      <w:r w:rsidR="0023070E">
        <w:rPr>
          <w:bCs/>
        </w:rPr>
        <w:t>) dwell within them (</w:t>
      </w:r>
      <w:r w:rsidR="0023070E">
        <w:rPr>
          <w:rFonts w:ascii="Gentium Plus" w:hAnsi="Gentium Plus"/>
          <w:bCs/>
          <w:lang w:val="el-GR"/>
        </w:rPr>
        <w:t>ἐνοικείτω ἐν ὑμῖν</w:t>
      </w:r>
      <w:r w:rsidR="0023070E">
        <w:rPr>
          <w:bCs/>
        </w:rPr>
        <w:t xml:space="preserve">) </w:t>
      </w:r>
      <w:r w:rsidR="0023070E" w:rsidRPr="0023070E">
        <w:rPr>
          <w:bCs/>
          <w:i/>
          <w:iCs/>
        </w:rPr>
        <w:t xml:space="preserve">by means of </w:t>
      </w:r>
      <w:r w:rsidR="0023070E" w:rsidRPr="0023070E">
        <w:rPr>
          <w:bCs/>
          <w:iCs/>
        </w:rPr>
        <w:t>teaching and instructing one another through psalms, hymns, and spiritual songs</w:t>
      </w:r>
      <w:r w:rsidR="0023070E">
        <w:rPr>
          <w:bCs/>
        </w:rPr>
        <w:t xml:space="preserve"> (3:16).  </w:t>
      </w:r>
      <w:r w:rsidR="003B0D15">
        <w:rPr>
          <w:bCs/>
        </w:rPr>
        <w:t>Given that Paul has echoed the Christ-hymn throughout the epistle, it seems highly plausible that in 3:16 he exhorts th</w:t>
      </w:r>
      <w:r w:rsidR="006C2D82">
        <w:rPr>
          <w:bCs/>
        </w:rPr>
        <w:t xml:space="preserve">e Colossians to sing the royal encomium, an act that </w:t>
      </w:r>
      <w:r w:rsidR="003B0D15">
        <w:rPr>
          <w:bCs/>
        </w:rPr>
        <w:t>thereby</w:t>
      </w:r>
      <w:r w:rsidR="006C2D82">
        <w:rPr>
          <w:bCs/>
        </w:rPr>
        <w:t xml:space="preserve"> functions to socialize</w:t>
      </w:r>
      <w:r w:rsidR="003B0D15">
        <w:rPr>
          <w:bCs/>
        </w:rPr>
        <w:t xml:space="preserve"> them into a symbolic universe where Christ the King reigns supremely as creator, ruler, and restorer of the entire cosmos.  </w:t>
      </w:r>
      <w:r w:rsidR="00E00BEB">
        <w:rPr>
          <w:bCs/>
        </w:rPr>
        <w:t>This socialization into this symbolic worldview where Christ the King reigns supreme will make any concern with other spiritual powers or addition of ritual and practice entirely unnecessary.</w:t>
      </w:r>
    </w:p>
    <w:p w14:paraId="0C0156AE" w14:textId="3923D575" w:rsidR="00274F1B" w:rsidRDefault="003B0D15" w:rsidP="00C352E4">
      <w:pPr>
        <w:spacing w:line="480" w:lineRule="auto"/>
        <w:jc w:val="both"/>
        <w:rPr>
          <w:bCs/>
        </w:rPr>
      </w:pPr>
      <w:r>
        <w:rPr>
          <w:bCs/>
        </w:rPr>
        <w:tab/>
        <w:t xml:space="preserve">But given the incredibly close relationship between ruler and ruled, that is between king and body/commonwealth, Paul presents the Colossians </w:t>
      </w:r>
      <w:r w:rsidRPr="003B0D15">
        <w:rPr>
          <w:bCs/>
          <w:i/>
          <w:iCs/>
        </w:rPr>
        <w:t xml:space="preserve">as sharing in each aspect of </w:t>
      </w:r>
      <w:r w:rsidR="006C2D82">
        <w:rPr>
          <w:bCs/>
          <w:i/>
          <w:iCs/>
        </w:rPr>
        <w:t xml:space="preserve">Christ </w:t>
      </w:r>
      <w:r w:rsidRPr="003B0D15">
        <w:rPr>
          <w:bCs/>
          <w:i/>
          <w:iCs/>
        </w:rPr>
        <w:t>the King’s rule</w:t>
      </w:r>
      <w:r>
        <w:rPr>
          <w:bCs/>
        </w:rPr>
        <w:t>.</w:t>
      </w:r>
      <w:r w:rsidR="00274F1B">
        <w:rPr>
          <w:rStyle w:val="FootnoteReference"/>
          <w:bCs/>
        </w:rPr>
        <w:footnoteReference w:id="203"/>
      </w:r>
      <w:r>
        <w:rPr>
          <w:bCs/>
        </w:rPr>
        <w:t xml:space="preserve"> </w:t>
      </w:r>
      <w:r w:rsidR="006C2D82">
        <w:rPr>
          <w:bCs/>
        </w:rPr>
        <w:t xml:space="preserve">I suggest that the enormous amount of language that speaks of the church as participating “in Christ” is Paul’s shorthand for depicting the Colossians’ share in the reign and rule of Christ the King. </w:t>
      </w:r>
      <w:r w:rsidR="00202D94">
        <w:rPr>
          <w:bCs/>
        </w:rPr>
        <w:t xml:space="preserve">Thus, the good king exists for the sake of the good and well-being of the people, and so there are obvious ecclesiological implications that derive from Paul’s kingship christology. </w:t>
      </w:r>
      <w:r w:rsidR="00DC0016">
        <w:rPr>
          <w:bCs/>
        </w:rPr>
        <w:t>For the sake of brevity, I simply list the relationship between the identity or activity of the King and his subjects in order to draw attention to the Colossians’ participation in the King’s reign.</w:t>
      </w:r>
    </w:p>
    <w:p w14:paraId="0EAA4A9E" w14:textId="3586E52C" w:rsidR="003B0D15" w:rsidRDefault="00DC0016" w:rsidP="00274F1B">
      <w:pPr>
        <w:spacing w:line="480" w:lineRule="auto"/>
        <w:ind w:left="720"/>
        <w:jc w:val="both"/>
        <w:rPr>
          <w:bCs/>
        </w:rPr>
      </w:pPr>
      <w:r w:rsidRPr="00AA601B">
        <w:rPr>
          <w:bCs/>
          <w:u w:val="single"/>
        </w:rPr>
        <w:t>1:15a</w:t>
      </w:r>
      <w:r>
        <w:rPr>
          <w:bCs/>
        </w:rPr>
        <w:t xml:space="preserve"> – </w:t>
      </w:r>
      <w:r w:rsidR="00274F1B">
        <w:rPr>
          <w:bCs/>
        </w:rPr>
        <w:t>As Christ is “the image of the invisible God” (1:15a), so is the new humanity in the process of being renewed “according to the image of the one creating [the new humanity] (</w:t>
      </w:r>
      <w:r w:rsidR="00274F1B">
        <w:rPr>
          <w:rFonts w:ascii="Gentium Plus" w:hAnsi="Gentium Plus"/>
          <w:bCs/>
          <w:lang w:val="el-GR"/>
        </w:rPr>
        <w:t>κατ᾽ εἰκόνα τοῦ κτίσαντος αὐτόν</w:t>
      </w:r>
      <w:r w:rsidR="00274F1B">
        <w:rPr>
          <w:bCs/>
        </w:rPr>
        <w:t>, 3:10b).</w:t>
      </w:r>
      <w:r w:rsidR="00DC5573">
        <w:rPr>
          <w:bCs/>
        </w:rPr>
        <w:t xml:space="preserve">  As the royal Adam shares his image, through procreation, with his descendants, so Christ gives his image to his new humanity.</w:t>
      </w:r>
      <w:r w:rsidR="00DC5573">
        <w:rPr>
          <w:rStyle w:val="FootnoteReference"/>
          <w:bCs/>
        </w:rPr>
        <w:footnoteReference w:id="204"/>
      </w:r>
    </w:p>
    <w:p w14:paraId="6E7E1E29" w14:textId="295ED10F" w:rsidR="003551CD" w:rsidRDefault="003551CD" w:rsidP="00274F1B">
      <w:pPr>
        <w:spacing w:line="480" w:lineRule="auto"/>
        <w:ind w:left="720"/>
        <w:jc w:val="both"/>
        <w:rPr>
          <w:bCs/>
        </w:rPr>
      </w:pPr>
      <w:r w:rsidRPr="00AA601B">
        <w:rPr>
          <w:bCs/>
          <w:u w:val="single"/>
        </w:rPr>
        <w:t>1:15b</w:t>
      </w:r>
      <w:r>
        <w:rPr>
          <w:bCs/>
        </w:rPr>
        <w:t xml:space="preserve"> – As the Davidic firstborn king who is exalted above all the other kings of the earth (LXX Psalm 88:26-28), so do the Colossians share in Christ’s royal exaltation as they have been raised above “where Christ is, seated at the right hand of God” (</w:t>
      </w:r>
      <w:r>
        <w:rPr>
          <w:rFonts w:ascii="Gentium Plus" w:hAnsi="Gentium Plus"/>
          <w:bCs/>
          <w:lang w:val="el-GR"/>
        </w:rPr>
        <w:t>ὁ Χριστός ἐστιν ἐν δεξιᾷ τοῦ θεοῦ καθήμενος</w:t>
      </w:r>
      <w:r>
        <w:rPr>
          <w:bCs/>
        </w:rPr>
        <w:t>, 3:1b; cf. LXX Psalm 109:1).</w:t>
      </w:r>
    </w:p>
    <w:p w14:paraId="47900918" w14:textId="298689BD" w:rsidR="00DC5573" w:rsidRDefault="00DC5573" w:rsidP="00274F1B">
      <w:pPr>
        <w:spacing w:line="480" w:lineRule="auto"/>
        <w:ind w:left="720"/>
        <w:jc w:val="both"/>
        <w:rPr>
          <w:bCs/>
        </w:rPr>
      </w:pPr>
      <w:r w:rsidRPr="00AA601B">
        <w:rPr>
          <w:bCs/>
          <w:u w:val="single"/>
        </w:rPr>
        <w:t>1:16</w:t>
      </w:r>
      <w:r>
        <w:rPr>
          <w:bCs/>
        </w:rPr>
        <w:t xml:space="preserve"> – Since Christ is the creator of everything in heaven and on the earth, “he is the head over every ruler and dominion” (</w:t>
      </w:r>
      <w:r w:rsidR="006C2D82">
        <w:rPr>
          <w:rFonts w:ascii="Gentium Plus" w:hAnsi="Gentium Plus"/>
          <w:bCs/>
          <w:lang w:val="el-GR"/>
        </w:rPr>
        <w:t>ὅς ἐστιν ἡ κεφαλὴ πάσης ἀρχῆς καὶ ἐξουσίας</w:t>
      </w:r>
      <w:r>
        <w:rPr>
          <w:bCs/>
        </w:rPr>
        <w:t>, 2:10b).</w:t>
      </w:r>
      <w:r w:rsidR="006C2D82">
        <w:rPr>
          <w:bCs/>
        </w:rPr>
        <w:t xml:space="preserve">  Thus, by virtue of their participation in Christ (“you are being filled in him,” 2:10a), the Colossians share in Christ’s victory over the rebellious cosmic powers (cf. 2:14-15).</w:t>
      </w:r>
    </w:p>
    <w:p w14:paraId="32AAC673" w14:textId="5B98A5E4" w:rsidR="00DC5573" w:rsidRDefault="00DC5573" w:rsidP="00274F1B">
      <w:pPr>
        <w:spacing w:line="480" w:lineRule="auto"/>
        <w:ind w:left="720"/>
        <w:jc w:val="both"/>
        <w:rPr>
          <w:bCs/>
        </w:rPr>
      </w:pPr>
      <w:r w:rsidRPr="00AA601B">
        <w:rPr>
          <w:bCs/>
          <w:u w:val="single"/>
        </w:rPr>
        <w:t>1:17</w:t>
      </w:r>
      <w:r>
        <w:rPr>
          <w:bCs/>
        </w:rPr>
        <w:t xml:space="preserve"> – Since Christ unifies an</w:t>
      </w:r>
      <w:r w:rsidR="00D153B9">
        <w:rPr>
          <w:bCs/>
        </w:rPr>
        <w:t>d stabilizes “all things” (</w:t>
      </w:r>
      <w:r w:rsidR="00D153B9">
        <w:rPr>
          <w:rFonts w:ascii="Gentium Plus" w:hAnsi="Gentium Plus"/>
          <w:bCs/>
          <w:lang w:val="el-GR"/>
        </w:rPr>
        <w:t>τὰ πάντα</w:t>
      </w:r>
      <w:r w:rsidR="00D153B9">
        <w:rPr>
          <w:bCs/>
        </w:rPr>
        <w:t>, 1:17) and “is all things and in all people” (</w:t>
      </w:r>
      <w:r w:rsidR="00D153B9">
        <w:rPr>
          <w:rFonts w:ascii="Gentium Plus" w:hAnsi="Gentium Plus"/>
          <w:bCs/>
          <w:lang w:val="el-GR"/>
        </w:rPr>
        <w:t>ἀλλὰ τὰ πάντα καὶ ε᾽ν πᾶσιν Χριστός</w:t>
      </w:r>
      <w:r w:rsidR="00D153B9">
        <w:rPr>
          <w:bCs/>
        </w:rPr>
        <w:t>, 3:11b), this provides</w:t>
      </w:r>
      <w:r>
        <w:rPr>
          <w:bCs/>
        </w:rPr>
        <w:t xml:space="preserve"> the foundation for a unified new humanity that is not divided by ethnic, socio-economic, or religious distinctions (3:10-11).</w:t>
      </w:r>
      <w:r w:rsidR="00D153B9">
        <w:rPr>
          <w:bCs/>
        </w:rPr>
        <w:t xml:space="preserve">  </w:t>
      </w:r>
    </w:p>
    <w:p w14:paraId="565536EF" w14:textId="2192A210" w:rsidR="00DC0016" w:rsidRDefault="00DC0016" w:rsidP="00274F1B">
      <w:pPr>
        <w:spacing w:line="480" w:lineRule="auto"/>
        <w:ind w:left="720"/>
        <w:jc w:val="both"/>
        <w:rPr>
          <w:bCs/>
        </w:rPr>
      </w:pPr>
      <w:r w:rsidRPr="00AA601B">
        <w:rPr>
          <w:bCs/>
          <w:u w:val="single"/>
        </w:rPr>
        <w:t>1:18a</w:t>
      </w:r>
      <w:r>
        <w:rPr>
          <w:bCs/>
        </w:rPr>
        <w:t xml:space="preserve"> – The “head of the body,” that is Christ the King’s reign over his subjects, rules not for his benefit but for the nourishment, growth, and good of his body (2:19). </w:t>
      </w:r>
    </w:p>
    <w:p w14:paraId="37FF157F" w14:textId="0453E55C" w:rsidR="00DC0016" w:rsidRDefault="00DC0016" w:rsidP="00274F1B">
      <w:pPr>
        <w:spacing w:line="480" w:lineRule="auto"/>
        <w:ind w:left="720"/>
        <w:jc w:val="both"/>
        <w:rPr>
          <w:bCs/>
        </w:rPr>
      </w:pPr>
      <w:r w:rsidRPr="00AA601B">
        <w:rPr>
          <w:bCs/>
          <w:u w:val="single"/>
        </w:rPr>
        <w:t>1:18b</w:t>
      </w:r>
      <w:r>
        <w:rPr>
          <w:bCs/>
        </w:rPr>
        <w:t xml:space="preserve"> – As “firstborn from the dead” those who are in Christ (</w:t>
      </w:r>
      <w:r>
        <w:rPr>
          <w:rFonts w:ascii="Gentium Plus" w:hAnsi="Gentium Plus"/>
          <w:bCs/>
          <w:lang w:val="el-GR"/>
        </w:rPr>
        <w:t>ἐν ᾧ</w:t>
      </w:r>
      <w:r>
        <w:rPr>
          <w:bCs/>
        </w:rPr>
        <w:t xml:space="preserve">) </w:t>
      </w:r>
      <w:r w:rsidR="005B2E8C">
        <w:rPr>
          <w:bCs/>
        </w:rPr>
        <w:t>share now in the King’s resurrection (</w:t>
      </w:r>
      <w:r w:rsidR="005B2E8C">
        <w:rPr>
          <w:rFonts w:ascii="Gentium Plus" w:hAnsi="Gentium Plus"/>
          <w:bCs/>
          <w:lang w:val="el-GR"/>
        </w:rPr>
        <w:t>συνηγέρθητε</w:t>
      </w:r>
      <w:r w:rsidR="005B2E8C">
        <w:rPr>
          <w:bCs/>
        </w:rPr>
        <w:t xml:space="preserve">, 2:12; </w:t>
      </w:r>
      <w:r w:rsidR="005B2E8C">
        <w:rPr>
          <w:rFonts w:ascii="Gentium Plus" w:hAnsi="Gentium Plus"/>
          <w:bCs/>
          <w:lang w:val="el-GR"/>
        </w:rPr>
        <w:t>συνηγέρθητε τῷ Χρίστῷ</w:t>
      </w:r>
      <w:r w:rsidR="005B2E8C">
        <w:rPr>
          <w:bCs/>
        </w:rPr>
        <w:t>, 3:1) and look forward to their “manifestation with him in glory” (</w:t>
      </w:r>
      <w:r w:rsidR="005B2E8C">
        <w:rPr>
          <w:rFonts w:ascii="Gentium Plus" w:hAnsi="Gentium Plus"/>
          <w:bCs/>
          <w:lang w:val="el-GR"/>
        </w:rPr>
        <w:t>σὺν αὐτῷ φανερωθήσεσθε ἐν δόξῃ</w:t>
      </w:r>
      <w:r w:rsidR="005B2E8C">
        <w:rPr>
          <w:bCs/>
        </w:rPr>
        <w:t>, 3:4b).</w:t>
      </w:r>
    </w:p>
    <w:p w14:paraId="523D92DB" w14:textId="45EBDB96" w:rsidR="005B2E8C" w:rsidRDefault="005B2E8C" w:rsidP="00274F1B">
      <w:pPr>
        <w:spacing w:line="480" w:lineRule="auto"/>
        <w:ind w:left="720"/>
        <w:jc w:val="both"/>
        <w:rPr>
          <w:bCs/>
        </w:rPr>
      </w:pPr>
      <w:r w:rsidRPr="00AA601B">
        <w:rPr>
          <w:bCs/>
          <w:u w:val="single"/>
        </w:rPr>
        <w:t>1:19</w:t>
      </w:r>
      <w:r>
        <w:rPr>
          <w:bCs/>
        </w:rPr>
        <w:t xml:space="preserve"> – Just as “all the fullness chose to dwell in him,” so the subjects of the king participate in the life of God as Paul makes the remarkable claim that “you are being filled up in him” (</w:t>
      </w:r>
      <w:r>
        <w:rPr>
          <w:rFonts w:ascii="Gentium Plus" w:hAnsi="Gentium Plus"/>
          <w:bCs/>
          <w:lang w:val="el-GR"/>
        </w:rPr>
        <w:t>ἐστὲ ἐν αὐτῷ πεπληρωμένοι</w:t>
      </w:r>
      <w:r>
        <w:rPr>
          <w:bCs/>
        </w:rPr>
        <w:t>, 2:10a) where the prepositional phrase refers to the one in whom “all the fullness of deity dwells bodily” (</w:t>
      </w:r>
      <w:r>
        <w:rPr>
          <w:rFonts w:ascii="Gentium Plus" w:hAnsi="Gentium Plus"/>
          <w:bCs/>
          <w:lang w:val="el-GR"/>
        </w:rPr>
        <w:t>κατοικεῖ πᾶν τὸ πλήρωμα τῆς θεότητος</w:t>
      </w:r>
      <w:r>
        <w:rPr>
          <w:bCs/>
        </w:rPr>
        <w:t>, 2:9).</w:t>
      </w:r>
      <w:r w:rsidR="003551CD">
        <w:rPr>
          <w:bCs/>
        </w:rPr>
        <w:t xml:space="preserve">  Further, if it is correct that the language of</w:t>
      </w:r>
      <w:r w:rsidR="00DC5573">
        <w:rPr>
          <w:bCs/>
        </w:rPr>
        <w:t xml:space="preserve"> </w:t>
      </w:r>
      <w:r w:rsidR="00DC5573">
        <w:rPr>
          <w:rFonts w:ascii="Gentium Plus" w:hAnsi="Gentium Plus"/>
          <w:bCs/>
          <w:lang w:val="el-GR"/>
        </w:rPr>
        <w:t>εὐδόκησεν...κατοικῆσαι</w:t>
      </w:r>
      <w:r w:rsidR="003551CD">
        <w:rPr>
          <w:bCs/>
        </w:rPr>
        <w:t xml:space="preserve"> refers to God electing Christ as his royal vicegerent, then this may function as the basis for God’s </w:t>
      </w:r>
      <w:r w:rsidR="00DC5573">
        <w:rPr>
          <w:bCs/>
        </w:rPr>
        <w:t>electing and choosing the Colossians as his people (1:12; 3:12; 3:15b).</w:t>
      </w:r>
    </w:p>
    <w:p w14:paraId="6A6189F2" w14:textId="30158DC0" w:rsidR="00274F1B" w:rsidRDefault="00DC0016" w:rsidP="00274F1B">
      <w:pPr>
        <w:spacing w:line="480" w:lineRule="auto"/>
        <w:ind w:left="720"/>
        <w:jc w:val="both"/>
        <w:rPr>
          <w:bCs/>
        </w:rPr>
      </w:pPr>
      <w:r w:rsidRPr="00AA601B">
        <w:rPr>
          <w:bCs/>
          <w:u w:val="single"/>
        </w:rPr>
        <w:t>1:20</w:t>
      </w:r>
      <w:r>
        <w:rPr>
          <w:bCs/>
        </w:rPr>
        <w:t xml:space="preserve"> – The Colossians comprise those “who were formerly alienated and enemies” (1:21) in need of God’s reconciliation through the self-giving death of the King (1:22).  As a result of Christ’s “making peace” </w:t>
      </w:r>
      <w:r w:rsidR="003551CD">
        <w:rPr>
          <w:bCs/>
        </w:rPr>
        <w:t xml:space="preserve">and producing cosmic harmony </w:t>
      </w:r>
      <w:r>
        <w:rPr>
          <w:bCs/>
        </w:rPr>
        <w:t>(1:20), the Colossians can share in the peace of the Messiah (</w:t>
      </w:r>
      <w:r>
        <w:rPr>
          <w:rFonts w:ascii="Gentium Plus" w:hAnsi="Gentium Plus"/>
          <w:bCs/>
          <w:lang w:val="el-GR"/>
        </w:rPr>
        <w:t>ἡ εἰρήνη τοῦ Χριστοῦ βραβευέτω ἐν ταῖς καρδίαις ὑμῶν</w:t>
      </w:r>
      <w:r w:rsidR="003551CD">
        <w:rPr>
          <w:bCs/>
        </w:rPr>
        <w:t>, 3:</w:t>
      </w:r>
      <w:r w:rsidR="00DC5573">
        <w:rPr>
          <w:bCs/>
        </w:rPr>
        <w:t>15a).</w:t>
      </w:r>
    </w:p>
    <w:p w14:paraId="7BA3022C" w14:textId="76071480" w:rsidR="006C2D82" w:rsidRPr="00C352E4" w:rsidRDefault="00AA601B" w:rsidP="006C2D82">
      <w:pPr>
        <w:spacing w:line="480" w:lineRule="auto"/>
        <w:jc w:val="both"/>
        <w:rPr>
          <w:bCs/>
        </w:rPr>
      </w:pPr>
      <w:r>
        <w:rPr>
          <w:bCs/>
        </w:rPr>
        <w:t xml:space="preserve">Thus, the encomium to Christ the King functions as the means whereby Paul socializes the church into a realm where Christ </w:t>
      </w:r>
      <w:r w:rsidR="00A96367">
        <w:rPr>
          <w:bCs/>
        </w:rPr>
        <w:t>is supreme</w:t>
      </w:r>
      <w:r>
        <w:rPr>
          <w:bCs/>
        </w:rPr>
        <w:t xml:space="preserve"> over every competitor.  By singing “the w</w:t>
      </w:r>
      <w:r w:rsidR="00A96367">
        <w:rPr>
          <w:bCs/>
        </w:rPr>
        <w:t>ord about the Messiah”</w:t>
      </w:r>
      <w:r>
        <w:rPr>
          <w:bCs/>
        </w:rPr>
        <w:t xml:space="preserve"> and by reflecting upon their own participation</w:t>
      </w:r>
      <w:r w:rsidR="00A96367">
        <w:rPr>
          <w:bCs/>
        </w:rPr>
        <w:t xml:space="preserve"> in every aspect of the </w:t>
      </w:r>
      <w:r>
        <w:rPr>
          <w:bCs/>
        </w:rPr>
        <w:t>beneficent King, the church is thereby grounded into a realit</w:t>
      </w:r>
      <w:r w:rsidR="00A96367">
        <w:rPr>
          <w:bCs/>
        </w:rPr>
        <w:t>y that makes all competitors of Christ’s rule simply irrelevant</w:t>
      </w:r>
      <w:r>
        <w:rPr>
          <w:bCs/>
        </w:rPr>
        <w:t>.</w:t>
      </w:r>
    </w:p>
    <w:p w14:paraId="0AA081ED" w14:textId="77777777" w:rsidR="005F45EB" w:rsidRDefault="005F45EB" w:rsidP="005F45EB">
      <w:pPr>
        <w:spacing w:line="480" w:lineRule="auto"/>
        <w:jc w:val="both"/>
        <w:rPr>
          <w:bCs/>
        </w:rPr>
      </w:pPr>
    </w:p>
    <w:p w14:paraId="6469AA44" w14:textId="77777777" w:rsidR="003B0D15" w:rsidRDefault="003B0D15" w:rsidP="005F45EB">
      <w:pPr>
        <w:spacing w:line="480" w:lineRule="auto"/>
        <w:jc w:val="both"/>
        <w:rPr>
          <w:bCs/>
        </w:rPr>
      </w:pPr>
    </w:p>
    <w:p w14:paraId="6F9FB455" w14:textId="24E79F81" w:rsidR="00D61454" w:rsidRPr="004A23F0" w:rsidRDefault="00D61454" w:rsidP="00D61454">
      <w:pPr>
        <w:spacing w:line="480" w:lineRule="auto"/>
        <w:rPr>
          <w:bCs/>
        </w:rPr>
      </w:pPr>
    </w:p>
    <w:sectPr w:rsidR="00D61454" w:rsidRPr="004A23F0" w:rsidSect="00D72931">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5E17" w14:textId="77777777" w:rsidR="00225DE7" w:rsidRDefault="00225DE7" w:rsidP="00640892">
      <w:r>
        <w:separator/>
      </w:r>
    </w:p>
  </w:endnote>
  <w:endnote w:type="continuationSeparator" w:id="0">
    <w:p w14:paraId="6929DB1C" w14:textId="77777777" w:rsidR="00225DE7" w:rsidRDefault="00225DE7" w:rsidP="0064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tium Plus">
    <w:panose1 w:val="02000503060000020004"/>
    <w:charset w:val="00"/>
    <w:family w:val="auto"/>
    <w:pitch w:val="variable"/>
    <w:sig w:usb0="E00002FF" w:usb1="5200A1FB" w:usb2="02000009" w:usb3="00000000" w:csb0="0000019F" w:csb1="00000000"/>
  </w:font>
  <w:font w:name="times`">
    <w:altName w:val="Times New Roman"/>
    <w:panose1 w:val="00000000000000000000"/>
    <w:charset w:val="00"/>
    <w:family w:val="roman"/>
    <w:notTrueType/>
    <w:pitch w:val="default"/>
  </w:font>
  <w:font w:name="Hebp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E78EB" w14:textId="77777777" w:rsidR="00225DE7" w:rsidRDefault="00225DE7" w:rsidP="00970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1AD7A" w14:textId="77777777" w:rsidR="00225DE7" w:rsidRDefault="00225DE7" w:rsidP="003124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DA1E" w14:textId="77777777" w:rsidR="00225DE7" w:rsidRDefault="00225DE7" w:rsidP="00970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103">
      <w:rPr>
        <w:rStyle w:val="PageNumber"/>
        <w:noProof/>
      </w:rPr>
      <w:t>1</w:t>
    </w:r>
    <w:r>
      <w:rPr>
        <w:rStyle w:val="PageNumber"/>
      </w:rPr>
      <w:fldChar w:fldCharType="end"/>
    </w:r>
  </w:p>
  <w:p w14:paraId="19CA7516" w14:textId="77777777" w:rsidR="00225DE7" w:rsidRDefault="00225DE7" w:rsidP="003124A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CED64" w14:textId="77777777" w:rsidR="00225DE7" w:rsidRDefault="00225DE7" w:rsidP="00640892">
      <w:r>
        <w:separator/>
      </w:r>
    </w:p>
  </w:footnote>
  <w:footnote w:type="continuationSeparator" w:id="0">
    <w:p w14:paraId="51CC3E96" w14:textId="77777777" w:rsidR="00225DE7" w:rsidRDefault="00225DE7" w:rsidP="00640892">
      <w:r>
        <w:continuationSeparator/>
      </w:r>
    </w:p>
  </w:footnote>
  <w:footnote w:id="1">
    <w:p w14:paraId="10260EB2" w14:textId="77777777" w:rsidR="00225DE7" w:rsidRPr="00894638" w:rsidRDefault="00225DE7" w:rsidP="00DB2439">
      <w:pPr>
        <w:pStyle w:val="FootnoteText"/>
        <w:jc w:val="both"/>
        <w:rPr>
          <w:sz w:val="20"/>
          <w:szCs w:val="20"/>
        </w:rPr>
      </w:pPr>
      <w:r>
        <w:rPr>
          <w:rStyle w:val="FootnoteReference"/>
        </w:rPr>
        <w:footnoteRef/>
      </w:r>
      <w:r>
        <w:t xml:space="preserve"> </w:t>
      </w:r>
      <w:r>
        <w:rPr>
          <w:sz w:val="20"/>
          <w:szCs w:val="20"/>
        </w:rPr>
        <w:t xml:space="preserve">On singing to Christ in early Christianity, see Martin Hengel, “The Song about Christ in Earliest Worship,” in </w:t>
      </w:r>
      <w:r w:rsidRPr="00C433D4">
        <w:rPr>
          <w:i/>
          <w:iCs/>
          <w:sz w:val="20"/>
          <w:szCs w:val="20"/>
        </w:rPr>
        <w:t>Studies in</w:t>
      </w:r>
      <w:r>
        <w:rPr>
          <w:i/>
          <w:iCs/>
          <w:sz w:val="20"/>
          <w:szCs w:val="20"/>
        </w:rPr>
        <w:t xml:space="preserve"> Early</w:t>
      </w:r>
      <w:r w:rsidRPr="00C433D4">
        <w:rPr>
          <w:i/>
          <w:iCs/>
          <w:sz w:val="20"/>
          <w:szCs w:val="20"/>
        </w:rPr>
        <w:t xml:space="preserve"> Christology</w:t>
      </w:r>
      <w:r>
        <w:rPr>
          <w:sz w:val="20"/>
          <w:szCs w:val="20"/>
        </w:rPr>
        <w:t xml:space="preserve"> (Edinburgh: T&amp;T Clark, 1995), 227-291.</w:t>
      </w:r>
    </w:p>
  </w:footnote>
  <w:footnote w:id="2">
    <w:p w14:paraId="0DA05846" w14:textId="3F430620" w:rsidR="00225DE7" w:rsidRPr="002E21CB" w:rsidRDefault="00225DE7" w:rsidP="002E21CB">
      <w:pPr>
        <w:pStyle w:val="FootnoteText"/>
        <w:jc w:val="both"/>
        <w:rPr>
          <w:sz w:val="20"/>
          <w:szCs w:val="20"/>
        </w:rPr>
      </w:pPr>
      <w:r>
        <w:rPr>
          <w:rStyle w:val="FootnoteReference"/>
        </w:rPr>
        <w:footnoteRef/>
      </w:r>
      <w:r>
        <w:t xml:space="preserve"> </w:t>
      </w:r>
      <w:r>
        <w:rPr>
          <w:sz w:val="20"/>
          <w:szCs w:val="20"/>
        </w:rPr>
        <w:t xml:space="preserve">On this, see Steven J. Friesen, </w:t>
      </w:r>
      <w:r w:rsidRPr="00973FFF">
        <w:rPr>
          <w:i/>
          <w:iCs/>
          <w:sz w:val="20"/>
          <w:szCs w:val="20"/>
        </w:rPr>
        <w:t>Imperial Cults and the Apocalypse of John: Reading Revelation in the Ruins</w:t>
      </w:r>
      <w:r>
        <w:rPr>
          <w:sz w:val="20"/>
          <w:szCs w:val="20"/>
        </w:rPr>
        <w:t xml:space="preserve"> (Oxford: Oxford University Press, 2001), 197-201; Justin P.  Jeffcoat Schedtler, </w:t>
      </w:r>
      <w:r w:rsidRPr="001B5A4C">
        <w:rPr>
          <w:i/>
          <w:iCs/>
          <w:sz w:val="20"/>
          <w:szCs w:val="20"/>
        </w:rPr>
        <w:t>A Heavenly Chorus: The Dramatic Function of Revelation’s Hymns</w:t>
      </w:r>
      <w:r>
        <w:rPr>
          <w:sz w:val="20"/>
          <w:szCs w:val="20"/>
        </w:rPr>
        <w:t xml:space="preserve"> (unpublished Emory University dissertation 2013); Martin Hengel, </w:t>
      </w:r>
      <w:r w:rsidRPr="00427B1A">
        <w:rPr>
          <w:i/>
          <w:iCs/>
          <w:sz w:val="20"/>
          <w:szCs w:val="20"/>
        </w:rPr>
        <w:t>Between Jesus and Pau</w:t>
      </w:r>
      <w:r>
        <w:rPr>
          <w:i/>
          <w:iCs/>
          <w:sz w:val="20"/>
          <w:szCs w:val="20"/>
        </w:rPr>
        <w:t>l: Studies in the Earliest History of Christianity</w:t>
      </w:r>
      <w:r>
        <w:rPr>
          <w:sz w:val="20"/>
          <w:szCs w:val="20"/>
        </w:rPr>
        <w:t xml:space="preserve"> (trans. John Bowden; Philadelphia: Fortress, 1983), 78-96, here, 81-86.</w:t>
      </w:r>
    </w:p>
  </w:footnote>
  <w:footnote w:id="3">
    <w:p w14:paraId="0A1F0D1A" w14:textId="7F439E8C" w:rsidR="00225DE7" w:rsidRPr="008704A2" w:rsidRDefault="00225DE7" w:rsidP="00F25805">
      <w:pPr>
        <w:pStyle w:val="FootnoteText"/>
        <w:jc w:val="both"/>
        <w:rPr>
          <w:sz w:val="20"/>
          <w:szCs w:val="20"/>
        </w:rPr>
      </w:pPr>
      <w:r>
        <w:rPr>
          <w:rStyle w:val="FootnoteReference"/>
        </w:rPr>
        <w:footnoteRef/>
      </w:r>
      <w:r>
        <w:t xml:space="preserve"> </w:t>
      </w:r>
      <w:r>
        <w:rPr>
          <w:sz w:val="20"/>
          <w:szCs w:val="20"/>
        </w:rPr>
        <w:t xml:space="preserve">Adela Yarbro Collins, “The Psalms and the Origins of Christology,” in </w:t>
      </w:r>
      <w:r w:rsidRPr="00F25805">
        <w:rPr>
          <w:i/>
          <w:iCs/>
          <w:sz w:val="20"/>
          <w:szCs w:val="20"/>
        </w:rPr>
        <w:t>Psalms in Community: Jewish and Christian Textual, Liturgical, and Artistic Traditions</w:t>
      </w:r>
      <w:r>
        <w:rPr>
          <w:sz w:val="20"/>
          <w:szCs w:val="20"/>
        </w:rPr>
        <w:t xml:space="preserve"> (eds. Harold W. Attridge and Margot E. Fassler; SBL Symposium Series 25; Atlanta: Society of Biblical Literature, 2003), 113-123, here, 113.</w:t>
      </w:r>
    </w:p>
  </w:footnote>
  <w:footnote w:id="4">
    <w:p w14:paraId="1F0E7C5C" w14:textId="292A9CA1" w:rsidR="00225DE7" w:rsidRPr="00894638" w:rsidRDefault="00225DE7" w:rsidP="003C094D">
      <w:pPr>
        <w:pStyle w:val="FootnoteText"/>
        <w:jc w:val="both"/>
        <w:rPr>
          <w:sz w:val="20"/>
          <w:szCs w:val="20"/>
        </w:rPr>
      </w:pPr>
      <w:r>
        <w:rPr>
          <w:rStyle w:val="FootnoteReference"/>
        </w:rPr>
        <w:footnoteRef/>
      </w:r>
      <w:r>
        <w:t xml:space="preserve"> </w:t>
      </w:r>
      <w:r>
        <w:rPr>
          <w:sz w:val="20"/>
          <w:szCs w:val="20"/>
        </w:rPr>
        <w:t xml:space="preserve">The scholarship is voluminous. For a comprehensive treatment of the hymns in the New Testament, see Jack T. Sanders, </w:t>
      </w:r>
      <w:r w:rsidRPr="003C094D">
        <w:rPr>
          <w:i/>
          <w:iCs/>
          <w:sz w:val="20"/>
          <w:szCs w:val="20"/>
        </w:rPr>
        <w:t>The New Testament Christological Hymns: Their Historical Religious Background</w:t>
      </w:r>
      <w:r>
        <w:rPr>
          <w:sz w:val="20"/>
          <w:szCs w:val="20"/>
        </w:rPr>
        <w:t xml:space="preserve"> (SNTSMS 15; Cambridge: Cambridge University Press, 1971); Klaus Wengst, </w:t>
      </w:r>
      <w:r w:rsidRPr="00195219">
        <w:rPr>
          <w:i/>
          <w:iCs/>
          <w:sz w:val="20"/>
          <w:szCs w:val="20"/>
        </w:rPr>
        <w:t>Christologische Formeln und Lieder des Urchristentums</w:t>
      </w:r>
      <w:r>
        <w:rPr>
          <w:sz w:val="20"/>
          <w:szCs w:val="20"/>
        </w:rPr>
        <w:t xml:space="preserve"> (SNT 7; Gütersloh: Gerd Mohn, 1972); Ralph P. Martin, </w:t>
      </w:r>
      <w:r w:rsidRPr="003C094D">
        <w:rPr>
          <w:i/>
          <w:iCs/>
          <w:sz w:val="20"/>
          <w:szCs w:val="20"/>
        </w:rPr>
        <w:t xml:space="preserve">A Hymn of Christ: Philippians 2:5 – 11 in Recent Interpretation and in the </w:t>
      </w:r>
      <w:r>
        <w:rPr>
          <w:i/>
          <w:iCs/>
          <w:sz w:val="20"/>
          <w:szCs w:val="20"/>
        </w:rPr>
        <w:t>Setting</w:t>
      </w:r>
      <w:r w:rsidRPr="003C094D">
        <w:rPr>
          <w:i/>
          <w:iCs/>
          <w:sz w:val="20"/>
          <w:szCs w:val="20"/>
        </w:rPr>
        <w:t xml:space="preserve"> of Early Christian Worship</w:t>
      </w:r>
      <w:r>
        <w:rPr>
          <w:sz w:val="20"/>
          <w:szCs w:val="20"/>
        </w:rPr>
        <w:t xml:space="preserve"> (Downers Grove, IL: InterVarsity Press, 1997); more recently, see Matthew E. Gordley, </w:t>
      </w:r>
      <w:r w:rsidRPr="003C094D">
        <w:rPr>
          <w:i/>
          <w:iCs/>
          <w:sz w:val="20"/>
          <w:szCs w:val="20"/>
        </w:rPr>
        <w:t>The Colossian Hymn in Context: An Exegesis in Light of Jewish and Greco-Roman Hymnic and Epistolary Conventions</w:t>
      </w:r>
      <w:r>
        <w:rPr>
          <w:sz w:val="20"/>
          <w:szCs w:val="20"/>
        </w:rPr>
        <w:t xml:space="preserve"> (WUNT 2.228; Tübingen: Mohr-Siebeck, 2007). </w:t>
      </w:r>
    </w:p>
  </w:footnote>
  <w:footnote w:id="5">
    <w:p w14:paraId="696F8CCA" w14:textId="6BDBD7D7" w:rsidR="00225DE7" w:rsidRPr="00BC49A6" w:rsidRDefault="00225DE7">
      <w:pPr>
        <w:pStyle w:val="FootnoteText"/>
        <w:rPr>
          <w:sz w:val="20"/>
          <w:szCs w:val="20"/>
        </w:rPr>
      </w:pPr>
      <w:r>
        <w:rPr>
          <w:rStyle w:val="FootnoteReference"/>
        </w:rPr>
        <w:footnoteRef/>
      </w:r>
      <w:r>
        <w:t xml:space="preserve"> </w:t>
      </w:r>
      <w:r>
        <w:rPr>
          <w:sz w:val="20"/>
          <w:szCs w:val="20"/>
        </w:rPr>
        <w:t xml:space="preserve">Cf. William Horbury, </w:t>
      </w:r>
      <w:r w:rsidRPr="00A22A7F">
        <w:rPr>
          <w:i/>
          <w:iCs/>
          <w:sz w:val="20"/>
          <w:szCs w:val="20"/>
        </w:rPr>
        <w:t>Jewish Messianism and the Cult of Christ</w:t>
      </w:r>
      <w:r>
        <w:rPr>
          <w:sz w:val="20"/>
          <w:szCs w:val="20"/>
        </w:rPr>
        <w:t xml:space="preserve"> (London: SCM, 1998), 109-110.</w:t>
      </w:r>
    </w:p>
  </w:footnote>
  <w:footnote w:id="6">
    <w:p w14:paraId="09C5AA05" w14:textId="5565344C" w:rsidR="00225DE7" w:rsidRPr="00640892" w:rsidRDefault="00225DE7" w:rsidP="00CD2F4A">
      <w:pPr>
        <w:pStyle w:val="FootnoteText"/>
        <w:jc w:val="both"/>
        <w:rPr>
          <w:sz w:val="20"/>
          <w:szCs w:val="20"/>
        </w:rPr>
      </w:pPr>
      <w:r>
        <w:rPr>
          <w:rStyle w:val="FootnoteReference"/>
        </w:rPr>
        <w:footnoteRef/>
      </w:r>
      <w:r>
        <w:t xml:space="preserve"> </w:t>
      </w:r>
      <w:r>
        <w:rPr>
          <w:sz w:val="20"/>
          <w:szCs w:val="20"/>
        </w:rPr>
        <w:t xml:space="preserve">For Middle-Platonic influence, see Thomas H. Tobin, “The World of Thought in the Philippians Hymn (2:6-11),” in </w:t>
      </w:r>
      <w:r w:rsidRPr="00CD2F4A">
        <w:rPr>
          <w:i/>
          <w:iCs/>
          <w:sz w:val="20"/>
          <w:szCs w:val="20"/>
        </w:rPr>
        <w:t>The New Testament and Early Christian Literature in Greco-Roman Context</w:t>
      </w:r>
      <w:r>
        <w:rPr>
          <w:i/>
          <w:iCs/>
          <w:sz w:val="20"/>
          <w:szCs w:val="20"/>
        </w:rPr>
        <w:t>: Studies in Honor of David E. Aune</w:t>
      </w:r>
      <w:r>
        <w:rPr>
          <w:sz w:val="20"/>
          <w:szCs w:val="20"/>
        </w:rPr>
        <w:t xml:space="preserve"> (ed. John Fotopoulos; NovTSup; Leiden: Brill, 2006), 91-104. C. H. Dodd states that every element of the Colossian Christ-hymn “can be traced to Jewish Wisdom theology.” See C. H. Dodd, “The History and Doctrine of the Apostolic Age,” in </w:t>
      </w:r>
      <w:r w:rsidRPr="006248E4">
        <w:rPr>
          <w:i/>
          <w:iCs/>
          <w:sz w:val="20"/>
          <w:szCs w:val="20"/>
        </w:rPr>
        <w:t>A Companion to the Bible</w:t>
      </w:r>
      <w:r>
        <w:rPr>
          <w:sz w:val="20"/>
          <w:szCs w:val="20"/>
        </w:rPr>
        <w:t xml:space="preserve"> (ed. T. W. Manson; Edinburgh: T &amp; T Clark, 1947), 409.</w:t>
      </w:r>
    </w:p>
  </w:footnote>
  <w:footnote w:id="7">
    <w:p w14:paraId="38D3F24A" w14:textId="0889BADF" w:rsidR="00225DE7" w:rsidRPr="000A2BA8" w:rsidRDefault="00225DE7" w:rsidP="000A2BA8">
      <w:pPr>
        <w:pStyle w:val="FootnoteText"/>
        <w:jc w:val="both"/>
        <w:rPr>
          <w:sz w:val="20"/>
          <w:szCs w:val="20"/>
        </w:rPr>
      </w:pPr>
      <w:r>
        <w:rPr>
          <w:rStyle w:val="FootnoteReference"/>
        </w:rPr>
        <w:footnoteRef/>
      </w:r>
      <w:r>
        <w:t xml:space="preserve"> </w:t>
      </w:r>
      <w:r>
        <w:rPr>
          <w:sz w:val="20"/>
          <w:szCs w:val="20"/>
        </w:rPr>
        <w:t xml:space="preserve">Even if the hymn is pre-Pauline, which I think is quite likely, Paul’s literary placement of the hymn within a context that emphasizes God’s royal son (1:13-14) is determinative for how Paul himself understood the hymn. Those who see the hymn as pre-Pauline include: Lohse, Gordley. </w:t>
      </w:r>
    </w:p>
  </w:footnote>
  <w:footnote w:id="8">
    <w:p w14:paraId="7F183810" w14:textId="3AD9AAC4" w:rsidR="00225DE7" w:rsidRPr="00640892" w:rsidRDefault="00225DE7" w:rsidP="008D4D7A">
      <w:pPr>
        <w:pStyle w:val="FootnoteText"/>
        <w:jc w:val="both"/>
        <w:rPr>
          <w:sz w:val="20"/>
          <w:szCs w:val="20"/>
        </w:rPr>
      </w:pPr>
      <w:r>
        <w:rPr>
          <w:rStyle w:val="FootnoteReference"/>
        </w:rPr>
        <w:footnoteRef/>
      </w:r>
      <w:r>
        <w:t xml:space="preserve"> </w:t>
      </w:r>
      <w:r>
        <w:rPr>
          <w:sz w:val="20"/>
          <w:szCs w:val="20"/>
        </w:rPr>
        <w:t xml:space="preserve">Cf. Dunn, </w:t>
      </w:r>
      <w:r w:rsidRPr="000A2BA8">
        <w:rPr>
          <w:i/>
          <w:iCs/>
          <w:sz w:val="20"/>
          <w:szCs w:val="20"/>
        </w:rPr>
        <w:t>Christology in the Making</w:t>
      </w:r>
      <w:r>
        <w:rPr>
          <w:sz w:val="20"/>
          <w:szCs w:val="20"/>
        </w:rPr>
        <w:t xml:space="preserve">. </w:t>
      </w:r>
      <w:r w:rsidRPr="00401DAC">
        <w:rPr>
          <w:sz w:val="20"/>
          <w:szCs w:val="20"/>
        </w:rPr>
        <w:t>Wisdom is never spoken of, for example, as “the firstborn of all creation” (1:15),</w:t>
      </w:r>
      <w:r>
        <w:rPr>
          <w:sz w:val="20"/>
          <w:szCs w:val="20"/>
        </w:rPr>
        <w:t xml:space="preserve"> God’s agent that “holds together all things” (1:17),</w:t>
      </w:r>
      <w:r w:rsidRPr="00401DAC">
        <w:rPr>
          <w:sz w:val="20"/>
          <w:szCs w:val="20"/>
        </w:rPr>
        <w:t xml:space="preserve"> the head of an assembly (1:18),</w:t>
      </w:r>
      <w:r>
        <w:rPr>
          <w:sz w:val="20"/>
          <w:szCs w:val="20"/>
        </w:rPr>
        <w:t xml:space="preserve"> “the firstborn form the dead” (1:18b),</w:t>
      </w:r>
      <w:r w:rsidRPr="00401DAC">
        <w:rPr>
          <w:sz w:val="20"/>
          <w:szCs w:val="20"/>
        </w:rPr>
        <w:t xml:space="preserve"> nor is she an agent of reconciliation that makes peace (1:20)</w:t>
      </w:r>
      <w:r>
        <w:rPr>
          <w:sz w:val="20"/>
          <w:szCs w:val="20"/>
        </w:rPr>
        <w:t xml:space="preserve">. Paul himself indicates that he sees the relationship between Christ and wisdom not as one where Christ is Wisdom personified but rather where wisdom is found in Christ, i.e., as an attribute of the Messiah (Col. 2:2-3). </w:t>
      </w:r>
      <w:r w:rsidRPr="00401DAC">
        <w:rPr>
          <w:sz w:val="20"/>
          <w:szCs w:val="20"/>
        </w:rPr>
        <w:t>See</w:t>
      </w:r>
      <w:r>
        <w:rPr>
          <w:sz w:val="20"/>
          <w:szCs w:val="20"/>
        </w:rPr>
        <w:t xml:space="preserve"> rightly, however, Gordon D. Fee [</w:t>
      </w:r>
      <w:r w:rsidRPr="008D4D7A">
        <w:rPr>
          <w:i/>
          <w:sz w:val="20"/>
          <w:szCs w:val="20"/>
        </w:rPr>
        <w:t>Pauline Christology: An Exegetical-Theological Study</w:t>
      </w:r>
      <w:r>
        <w:rPr>
          <w:sz w:val="20"/>
          <w:szCs w:val="20"/>
        </w:rPr>
        <w:t xml:space="preserve"> (Peabody, MA: Hendrickson, 2007), 325] who after a thorough and convincing critique of Paul’s supposed Wisdom-Christology states regarding Col. 1:15-20: “What Paul’s sentences point to instead is a Son of God Christology in which he uses </w:t>
      </w:r>
      <w:r w:rsidRPr="008D4D7A">
        <w:rPr>
          <w:i/>
          <w:iCs/>
          <w:sz w:val="20"/>
          <w:szCs w:val="20"/>
        </w:rPr>
        <w:t>biblical</w:t>
      </w:r>
      <w:r>
        <w:rPr>
          <w:sz w:val="20"/>
          <w:szCs w:val="20"/>
        </w:rPr>
        <w:t xml:space="preserve"> images from Genesis and the Davidic kingship.” Also, see Sean M. McDonough, </w:t>
      </w:r>
      <w:r w:rsidRPr="00F1122C">
        <w:rPr>
          <w:i/>
          <w:iCs/>
          <w:sz w:val="20"/>
          <w:szCs w:val="20"/>
        </w:rPr>
        <w:t>Christ as Creator: Origins of a New Testament Doctrine</w:t>
      </w:r>
      <w:r>
        <w:rPr>
          <w:sz w:val="20"/>
          <w:szCs w:val="20"/>
        </w:rPr>
        <w:t xml:space="preserve"> (Oxford: Oxford University Press, 2009), 175-176, 180.</w:t>
      </w:r>
    </w:p>
  </w:footnote>
  <w:footnote w:id="9">
    <w:p w14:paraId="431510A2" w14:textId="7C795F81" w:rsidR="00225DE7" w:rsidRPr="009F7F5E" w:rsidRDefault="00225DE7" w:rsidP="009168A9">
      <w:pPr>
        <w:pStyle w:val="FootnoteText"/>
        <w:jc w:val="both"/>
        <w:rPr>
          <w:sz w:val="20"/>
          <w:szCs w:val="20"/>
        </w:rPr>
      </w:pPr>
      <w:r>
        <w:rPr>
          <w:rStyle w:val="FootnoteReference"/>
        </w:rPr>
        <w:footnoteRef/>
      </w:r>
      <w:r>
        <w:t xml:space="preserve"> </w:t>
      </w:r>
      <w:r>
        <w:rPr>
          <w:sz w:val="20"/>
          <w:szCs w:val="20"/>
        </w:rPr>
        <w:t xml:space="preserve">On the use of hymns in cults to the gods, see William D. Furley and Jan Maarten Bremer, </w:t>
      </w:r>
      <w:r w:rsidRPr="009F7F5E">
        <w:rPr>
          <w:i/>
          <w:iCs/>
          <w:sz w:val="20"/>
          <w:szCs w:val="20"/>
        </w:rPr>
        <w:t>Greek Hymns: Selected Cult Songs from the Archaic to the Hellenistic Period</w:t>
      </w:r>
      <w:r>
        <w:rPr>
          <w:sz w:val="20"/>
          <w:szCs w:val="20"/>
        </w:rPr>
        <w:t xml:space="preserve"> (Tübingen: Mohr-Siebeck, xxxx); Ramsay MacMullen and Eugene N Lane (editors), </w:t>
      </w:r>
      <w:r w:rsidRPr="009F7F5E">
        <w:rPr>
          <w:i/>
          <w:iCs/>
          <w:sz w:val="20"/>
          <w:szCs w:val="20"/>
        </w:rPr>
        <w:t>Paganism and Christianity: A Sourcebook</w:t>
      </w:r>
      <w:r>
        <w:rPr>
          <w:sz w:val="20"/>
          <w:szCs w:val="20"/>
        </w:rPr>
        <w:t xml:space="preserve"> (Minneapolis: Fortress Press, 1992), 50-63.</w:t>
      </w:r>
    </w:p>
  </w:footnote>
  <w:footnote w:id="10">
    <w:p w14:paraId="295111CB" w14:textId="0BBF18BD" w:rsidR="00225DE7" w:rsidRPr="009F7F5E" w:rsidRDefault="00225DE7" w:rsidP="009F7F5E">
      <w:pPr>
        <w:pStyle w:val="FootnoteText"/>
        <w:jc w:val="both"/>
        <w:rPr>
          <w:sz w:val="20"/>
          <w:szCs w:val="20"/>
        </w:rPr>
      </w:pPr>
      <w:r w:rsidRPr="009F7F5E">
        <w:rPr>
          <w:rStyle w:val="FootnoteReference"/>
          <w:sz w:val="20"/>
          <w:szCs w:val="20"/>
        </w:rPr>
        <w:footnoteRef/>
      </w:r>
      <w:r w:rsidRPr="009F7F5E">
        <w:rPr>
          <w:sz w:val="20"/>
          <w:szCs w:val="20"/>
        </w:rPr>
        <w:t xml:space="preserve"> </w:t>
      </w:r>
      <w:r>
        <w:rPr>
          <w:sz w:val="20"/>
          <w:szCs w:val="20"/>
        </w:rPr>
        <w:t>Despite their late dating (</w:t>
      </w:r>
      <w:r w:rsidRPr="00517930">
        <w:rPr>
          <w:sz w:val="20"/>
          <w:szCs w:val="20"/>
          <w:u w:val="single"/>
        </w:rPr>
        <w:t>note</w:t>
      </w:r>
      <w:r>
        <w:rPr>
          <w:sz w:val="20"/>
          <w:szCs w:val="20"/>
        </w:rPr>
        <w:t xml:space="preserve">), one </w:t>
      </w:r>
      <w:r w:rsidRPr="009F7F5E">
        <w:rPr>
          <w:sz w:val="20"/>
          <w:szCs w:val="20"/>
        </w:rPr>
        <w:t>can assume a certain level of familiarity with their techniques for composing conventional literary forms</w:t>
      </w:r>
      <w:r>
        <w:rPr>
          <w:sz w:val="20"/>
          <w:szCs w:val="20"/>
        </w:rPr>
        <w:t>.</w:t>
      </w:r>
      <w:r w:rsidRPr="009F7F5E">
        <w:rPr>
          <w:sz w:val="20"/>
          <w:szCs w:val="20"/>
        </w:rPr>
        <w:t xml:space="preserve"> On the use of the </w:t>
      </w:r>
      <w:r w:rsidRPr="009F7F5E">
        <w:rPr>
          <w:i/>
          <w:iCs/>
          <w:sz w:val="20"/>
          <w:szCs w:val="20"/>
        </w:rPr>
        <w:t>progymnasmata</w:t>
      </w:r>
      <w:r w:rsidRPr="009F7F5E">
        <w:rPr>
          <w:sz w:val="20"/>
          <w:szCs w:val="20"/>
        </w:rPr>
        <w:t xml:space="preserve"> in NT studies, see </w:t>
      </w:r>
      <w:r>
        <w:rPr>
          <w:sz w:val="20"/>
          <w:szCs w:val="20"/>
        </w:rPr>
        <w:t xml:space="preserve">Ronald F. Hock and Edward N. O’Neil (eds.), </w:t>
      </w:r>
      <w:r w:rsidRPr="00115C53">
        <w:rPr>
          <w:i/>
          <w:iCs/>
          <w:sz w:val="20"/>
          <w:szCs w:val="20"/>
        </w:rPr>
        <w:t>The Chreia in Ancient Rhetoric: The “Progymnasmata”</w:t>
      </w:r>
      <w:r>
        <w:rPr>
          <w:sz w:val="20"/>
          <w:szCs w:val="20"/>
        </w:rPr>
        <w:t xml:space="preserve"> (vol 1; SBLTT 27/SBLGRS 9; Atlanta: Scholars Press, 1986)</w:t>
      </w:r>
      <w:r w:rsidRPr="009F7F5E">
        <w:rPr>
          <w:sz w:val="20"/>
          <w:szCs w:val="20"/>
        </w:rPr>
        <w:t>.</w:t>
      </w:r>
    </w:p>
  </w:footnote>
  <w:footnote w:id="11">
    <w:p w14:paraId="26245571" w14:textId="317EFCDE" w:rsidR="00225DE7" w:rsidRPr="00821FB0" w:rsidRDefault="00225DE7" w:rsidP="00821FB0">
      <w:pPr>
        <w:pStyle w:val="FootnoteText"/>
        <w:jc w:val="both"/>
        <w:rPr>
          <w:sz w:val="20"/>
          <w:szCs w:val="20"/>
        </w:rPr>
      </w:pPr>
      <w:r>
        <w:rPr>
          <w:rStyle w:val="FootnoteReference"/>
        </w:rPr>
        <w:footnoteRef/>
      </w:r>
      <w:r>
        <w:t xml:space="preserve"> </w:t>
      </w:r>
      <w:r>
        <w:rPr>
          <w:sz w:val="20"/>
          <w:szCs w:val="20"/>
        </w:rPr>
        <w:t xml:space="preserve">The translation is from George A. Kennedy, </w:t>
      </w:r>
      <w:r w:rsidRPr="00821FB0">
        <w:rPr>
          <w:i/>
          <w:iCs/>
          <w:sz w:val="20"/>
          <w:szCs w:val="20"/>
        </w:rPr>
        <w:t>Progymnasmata: Greek Textbooks of Prose Composition and Rhetoric</w:t>
      </w:r>
      <w:r>
        <w:rPr>
          <w:sz w:val="20"/>
          <w:szCs w:val="20"/>
        </w:rPr>
        <w:t xml:space="preserve"> (SBL Writings from the Greco-Roman World; Atlanta: SBL, 2003), 50; for helpful discussion of the </w:t>
      </w:r>
      <w:r w:rsidRPr="0065591C">
        <w:rPr>
          <w:i/>
          <w:iCs/>
          <w:sz w:val="20"/>
          <w:szCs w:val="20"/>
        </w:rPr>
        <w:t>Progymnasmata</w:t>
      </w:r>
      <w:r>
        <w:rPr>
          <w:sz w:val="20"/>
          <w:szCs w:val="20"/>
        </w:rPr>
        <w:t xml:space="preserve"> on hymns and encomia, see Edgar Krentz, “Epideiktik and Hymnody: The New Testament and Its World,” </w:t>
      </w:r>
      <w:r w:rsidRPr="0065591C">
        <w:rPr>
          <w:i/>
          <w:iCs/>
          <w:sz w:val="20"/>
          <w:szCs w:val="20"/>
        </w:rPr>
        <w:t>Biblical Research</w:t>
      </w:r>
      <w:r>
        <w:rPr>
          <w:sz w:val="20"/>
          <w:szCs w:val="20"/>
        </w:rPr>
        <w:t xml:space="preserve"> 40 (1995): 50-97, here, 59-71.</w:t>
      </w:r>
    </w:p>
  </w:footnote>
  <w:footnote w:id="12">
    <w:p w14:paraId="5AEE8878" w14:textId="77777777" w:rsidR="00225DE7" w:rsidRPr="007361D0" w:rsidRDefault="00225DE7">
      <w:pPr>
        <w:pStyle w:val="FootnoteText"/>
        <w:rPr>
          <w:sz w:val="20"/>
          <w:szCs w:val="20"/>
        </w:rPr>
      </w:pPr>
      <w:r>
        <w:rPr>
          <w:rStyle w:val="FootnoteReference"/>
        </w:rPr>
        <w:footnoteRef/>
      </w:r>
      <w:r>
        <w:t xml:space="preserve"> </w:t>
      </w:r>
      <w:r>
        <w:rPr>
          <w:sz w:val="20"/>
          <w:szCs w:val="20"/>
        </w:rPr>
        <w:t xml:space="preserve">Kennedy, </w:t>
      </w:r>
      <w:r w:rsidRPr="007361D0">
        <w:rPr>
          <w:i/>
          <w:iCs/>
          <w:sz w:val="20"/>
          <w:szCs w:val="20"/>
        </w:rPr>
        <w:t>Progymnasmata</w:t>
      </w:r>
      <w:r>
        <w:rPr>
          <w:sz w:val="20"/>
          <w:szCs w:val="20"/>
        </w:rPr>
        <w:t>, 108.</w:t>
      </w:r>
    </w:p>
  </w:footnote>
  <w:footnote w:id="13">
    <w:p w14:paraId="0BF65B2F" w14:textId="77777777" w:rsidR="00225DE7" w:rsidRPr="00321231" w:rsidRDefault="00225DE7">
      <w:pPr>
        <w:pStyle w:val="FootnoteText"/>
        <w:rPr>
          <w:sz w:val="20"/>
          <w:szCs w:val="20"/>
        </w:rPr>
      </w:pPr>
      <w:r>
        <w:rPr>
          <w:rStyle w:val="FootnoteReference"/>
        </w:rPr>
        <w:footnoteRef/>
      </w:r>
      <w:r>
        <w:t xml:space="preserve"> </w:t>
      </w:r>
      <w:r>
        <w:rPr>
          <w:sz w:val="20"/>
          <w:szCs w:val="20"/>
        </w:rPr>
        <w:t xml:space="preserve">Kennedy, </w:t>
      </w:r>
      <w:r w:rsidRPr="00321231">
        <w:rPr>
          <w:i/>
          <w:iCs/>
          <w:sz w:val="20"/>
          <w:szCs w:val="20"/>
        </w:rPr>
        <w:t>Progymnasmata</w:t>
      </w:r>
      <w:r>
        <w:rPr>
          <w:sz w:val="20"/>
          <w:szCs w:val="20"/>
        </w:rPr>
        <w:t>, 108.</w:t>
      </w:r>
    </w:p>
  </w:footnote>
  <w:footnote w:id="14">
    <w:p w14:paraId="0514C9A8" w14:textId="77777777" w:rsidR="00225DE7" w:rsidRDefault="00225DE7" w:rsidP="005235CD">
      <w:pPr>
        <w:pStyle w:val="FootnoteText"/>
      </w:pPr>
      <w:r>
        <w:rPr>
          <w:rStyle w:val="FootnoteReference"/>
        </w:rPr>
        <w:footnoteRef/>
      </w:r>
      <w:r>
        <w:t xml:space="preserve"> </w:t>
      </w:r>
      <w:r>
        <w:rPr>
          <w:sz w:val="20"/>
          <w:szCs w:val="20"/>
        </w:rPr>
        <w:t xml:space="preserve">Kennedy, </w:t>
      </w:r>
      <w:r w:rsidRPr="00321231">
        <w:rPr>
          <w:i/>
          <w:iCs/>
          <w:sz w:val="20"/>
          <w:szCs w:val="20"/>
        </w:rPr>
        <w:t>Progymnasmata</w:t>
      </w:r>
      <w:r>
        <w:rPr>
          <w:sz w:val="20"/>
          <w:szCs w:val="20"/>
        </w:rPr>
        <w:t>, 155.</w:t>
      </w:r>
    </w:p>
  </w:footnote>
  <w:footnote w:id="15">
    <w:p w14:paraId="12487BE7" w14:textId="4E77E726" w:rsidR="00225DE7" w:rsidRPr="009F7F5E" w:rsidRDefault="00225DE7" w:rsidP="00914615">
      <w:pPr>
        <w:pStyle w:val="FootnoteText"/>
        <w:jc w:val="both"/>
        <w:rPr>
          <w:sz w:val="20"/>
          <w:szCs w:val="20"/>
        </w:rPr>
      </w:pPr>
      <w:r>
        <w:rPr>
          <w:rStyle w:val="FootnoteReference"/>
        </w:rPr>
        <w:footnoteRef/>
      </w:r>
      <w:r>
        <w:t xml:space="preserve"> </w:t>
      </w:r>
      <w:r>
        <w:rPr>
          <w:sz w:val="20"/>
          <w:szCs w:val="20"/>
        </w:rPr>
        <w:t xml:space="preserve">For text and translation, see D. A. Russell and N. G. Wilson, </w:t>
      </w:r>
      <w:r w:rsidRPr="009F7F5E">
        <w:rPr>
          <w:i/>
          <w:iCs/>
          <w:sz w:val="20"/>
          <w:szCs w:val="20"/>
        </w:rPr>
        <w:t>Menander Rhetor</w:t>
      </w:r>
      <w:r>
        <w:rPr>
          <w:sz w:val="20"/>
          <w:szCs w:val="20"/>
        </w:rPr>
        <w:t xml:space="preserve"> (Oxford: Clarendon Press, 1981).  Also, see  Krentz.</w:t>
      </w:r>
      <w:r w:rsidRPr="009F7F5E">
        <w:rPr>
          <w:sz w:val="20"/>
          <w:szCs w:val="20"/>
        </w:rPr>
        <w:t xml:space="preserve"> </w:t>
      </w:r>
      <w:r>
        <w:rPr>
          <w:sz w:val="20"/>
          <w:szCs w:val="20"/>
        </w:rPr>
        <w:t>“Epideiktik and Hymnody,” 62-71.</w:t>
      </w:r>
    </w:p>
  </w:footnote>
  <w:footnote w:id="16">
    <w:p w14:paraId="65D08744" w14:textId="77777777" w:rsidR="00225DE7" w:rsidRPr="00453DD4" w:rsidRDefault="00225DE7" w:rsidP="005235CD">
      <w:pPr>
        <w:pStyle w:val="FootnoteText"/>
        <w:jc w:val="both"/>
        <w:rPr>
          <w:sz w:val="20"/>
          <w:szCs w:val="20"/>
        </w:rPr>
      </w:pPr>
      <w:r w:rsidRPr="00453DD4">
        <w:rPr>
          <w:rStyle w:val="FootnoteReference"/>
          <w:sz w:val="20"/>
          <w:szCs w:val="20"/>
        </w:rPr>
        <w:footnoteRef/>
      </w:r>
      <w:r w:rsidRPr="00453DD4">
        <w:rPr>
          <w:sz w:val="20"/>
          <w:szCs w:val="20"/>
        </w:rPr>
        <w:t xml:space="preserve"> For text and translation see, Quintilian, </w:t>
      </w:r>
      <w:r w:rsidRPr="00453DD4">
        <w:rPr>
          <w:i/>
          <w:iCs/>
          <w:sz w:val="20"/>
          <w:szCs w:val="20"/>
        </w:rPr>
        <w:t>The Orator’s Education: Books 3 – 5</w:t>
      </w:r>
      <w:r w:rsidRPr="00453DD4">
        <w:rPr>
          <w:sz w:val="20"/>
          <w:szCs w:val="20"/>
        </w:rPr>
        <w:t xml:space="preserve"> (transl. D. A. Russell; Loeb Classical Library; Cambridge, MA: Harvard University Press, 2001).</w:t>
      </w:r>
    </w:p>
  </w:footnote>
  <w:footnote w:id="17">
    <w:p w14:paraId="0BE21CD0" w14:textId="77777777" w:rsidR="00225DE7" w:rsidRPr="00453DD4" w:rsidRDefault="00225DE7">
      <w:pPr>
        <w:pStyle w:val="FootnoteText"/>
        <w:rPr>
          <w:sz w:val="20"/>
          <w:szCs w:val="20"/>
        </w:rPr>
      </w:pPr>
      <w:r w:rsidRPr="00453DD4">
        <w:rPr>
          <w:rStyle w:val="FootnoteReference"/>
          <w:sz w:val="20"/>
          <w:szCs w:val="20"/>
        </w:rPr>
        <w:footnoteRef/>
      </w:r>
      <w:r w:rsidRPr="00453DD4">
        <w:rPr>
          <w:sz w:val="20"/>
          <w:szCs w:val="20"/>
        </w:rPr>
        <w:t xml:space="preserve"> Krentz, “Epideiktik and Hymnody,” 57.</w:t>
      </w:r>
    </w:p>
  </w:footnote>
  <w:footnote w:id="18">
    <w:p w14:paraId="442B0AE8" w14:textId="5A08AFAC" w:rsidR="00225DE7" w:rsidRPr="0010072A" w:rsidRDefault="00225DE7" w:rsidP="003C34BC">
      <w:pPr>
        <w:pStyle w:val="FootnoteText"/>
        <w:jc w:val="both"/>
        <w:rPr>
          <w:sz w:val="20"/>
          <w:szCs w:val="20"/>
        </w:rPr>
      </w:pPr>
      <w:r>
        <w:rPr>
          <w:rStyle w:val="FootnoteReference"/>
        </w:rPr>
        <w:footnoteRef/>
      </w:r>
      <w:r>
        <w:t xml:space="preserve"> </w:t>
      </w:r>
      <w:r>
        <w:rPr>
          <w:sz w:val="20"/>
          <w:szCs w:val="20"/>
        </w:rPr>
        <w:t xml:space="preserve">These rhetorical techniques can be compared with the one of the earliest known encomiastic orations for a rule  - Isocrates’ </w:t>
      </w:r>
      <w:r w:rsidRPr="0010072A">
        <w:rPr>
          <w:i/>
          <w:iCs/>
          <w:sz w:val="20"/>
          <w:szCs w:val="20"/>
        </w:rPr>
        <w:t>Evagoras</w:t>
      </w:r>
      <w:r>
        <w:rPr>
          <w:sz w:val="20"/>
          <w:szCs w:val="20"/>
        </w:rPr>
        <w:t xml:space="preserve">.  Isocrates praises the Cyprian ruler since he is “one of the sons of Zeus” (12-14) and so Zeus upholds Evagoras’ kingship (25). The bulk of the oration is devoted to the king’s actions (33-39, 47-64), particularly his benefactions (54-57, 65). Evagoras is, therefore, </w:t>
      </w:r>
      <w:r w:rsidRPr="003C34BC">
        <w:rPr>
          <w:sz w:val="20"/>
          <w:szCs w:val="20"/>
        </w:rPr>
        <w:t>worthy of being declared “a god among men, or a mortal divinity” (</w:t>
      </w:r>
      <w:r w:rsidRPr="003C34BC">
        <w:rPr>
          <w:rFonts w:ascii="Gentium Plus" w:hAnsi="Gentium Plus"/>
          <w:sz w:val="20"/>
          <w:szCs w:val="20"/>
          <w:lang w:val="el-GR"/>
        </w:rPr>
        <w:t>ὡς ἦν θεὸς ἐν ἀνθρώποις ἣ δαίμων θνητός</w:t>
      </w:r>
      <w:r w:rsidRPr="003C34BC">
        <w:rPr>
          <w:sz w:val="20"/>
          <w:szCs w:val="20"/>
        </w:rPr>
        <w:t>, 72).</w:t>
      </w:r>
      <w:r>
        <w:t xml:space="preserve"> </w:t>
      </w:r>
      <w:r w:rsidRPr="00453DD4">
        <w:rPr>
          <w:sz w:val="20"/>
          <w:szCs w:val="20"/>
        </w:rPr>
        <w:t xml:space="preserve">For text and translation, see LaRue Van Hook, </w:t>
      </w:r>
      <w:r w:rsidRPr="00453DD4">
        <w:rPr>
          <w:i/>
          <w:iCs/>
          <w:sz w:val="20"/>
          <w:szCs w:val="20"/>
        </w:rPr>
        <w:t>Isocrates: In Three Volumes</w:t>
      </w:r>
      <w:r w:rsidRPr="00453DD4">
        <w:rPr>
          <w:iCs/>
          <w:sz w:val="20"/>
          <w:szCs w:val="20"/>
        </w:rPr>
        <w:t xml:space="preserve"> (Loeb Classical Library; Cambridge, MA: Harvard University Press, 1968).  For a discussion of Isocrates’ Cyprian Orations, see Julien Smith, </w:t>
      </w:r>
      <w:r w:rsidRPr="00453DD4">
        <w:rPr>
          <w:i/>
          <w:iCs/>
          <w:sz w:val="20"/>
          <w:szCs w:val="20"/>
        </w:rPr>
        <w:t>Christ the Ideal King: Cultural Context, Rhetorical Strategy, and the Power of Divine Monarchy in Ephesians</w:t>
      </w:r>
      <w:r w:rsidRPr="00453DD4">
        <w:rPr>
          <w:iCs/>
          <w:sz w:val="20"/>
          <w:szCs w:val="20"/>
        </w:rPr>
        <w:t xml:space="preserve"> (WUNT 2.313; Tübingen: Mohr-Siebeck, 2011), 30-33; also see Matthew E. Gordley, </w:t>
      </w:r>
      <w:r w:rsidRPr="00453DD4">
        <w:rPr>
          <w:i/>
          <w:iCs/>
          <w:sz w:val="20"/>
          <w:szCs w:val="20"/>
        </w:rPr>
        <w:t>Teaching through Song in Antiquity: Didactic Hymnody among Greeks, Romans, Jews, and Christians</w:t>
      </w:r>
      <w:r w:rsidRPr="00453DD4">
        <w:rPr>
          <w:iCs/>
          <w:sz w:val="20"/>
          <w:szCs w:val="20"/>
        </w:rPr>
        <w:t xml:space="preserve"> (WUNT 2.302; Tübingen: Mohr-Siebeck, 2011), 111-115. On the prevalence of praising rulers through hymns and encomia in the 4</w:t>
      </w:r>
      <w:r w:rsidRPr="00453DD4">
        <w:rPr>
          <w:iCs/>
          <w:sz w:val="20"/>
          <w:szCs w:val="20"/>
          <w:vertAlign w:val="superscript"/>
        </w:rPr>
        <w:t>th</w:t>
      </w:r>
      <w:r w:rsidRPr="00453DD4">
        <w:rPr>
          <w:iCs/>
          <w:sz w:val="20"/>
          <w:szCs w:val="20"/>
        </w:rPr>
        <w:t xml:space="preserve"> century, see Laurent Pernot, </w:t>
      </w:r>
      <w:r w:rsidRPr="00453DD4">
        <w:rPr>
          <w:rFonts w:ascii="Cambria" w:eastAsia="Times New Roman" w:hAnsi="Cambria" w:cs="Times New Roman"/>
          <w:bCs/>
          <w:i/>
          <w:iCs/>
          <w:kern w:val="36"/>
          <w:sz w:val="20"/>
          <w:szCs w:val="20"/>
        </w:rPr>
        <w:t>La rhétorique de l'éloge dans le monde gréco-romain</w:t>
      </w:r>
      <w:r w:rsidRPr="00453DD4">
        <w:rPr>
          <w:rFonts w:ascii="Cambria" w:eastAsia="Times New Roman" w:hAnsi="Cambria" w:cs="Times New Roman"/>
          <w:bCs/>
          <w:kern w:val="36"/>
          <w:sz w:val="20"/>
          <w:szCs w:val="20"/>
        </w:rPr>
        <w:t xml:space="preserve"> (2 vols., Paris: I</w:t>
      </w:r>
      <w:r w:rsidRPr="00453DD4">
        <w:rPr>
          <w:rFonts w:eastAsia="Times New Roman" w:cs="Times New Roman"/>
          <w:sz w:val="20"/>
          <w:szCs w:val="20"/>
        </w:rPr>
        <w:t xml:space="preserve">nstitut d'études augustiniennes, 1993), 1.23. </w:t>
      </w:r>
    </w:p>
  </w:footnote>
  <w:footnote w:id="19">
    <w:p w14:paraId="327B8946" w14:textId="684F81AF" w:rsidR="00225DE7" w:rsidRPr="000913EC" w:rsidRDefault="00225DE7" w:rsidP="000913EC">
      <w:pPr>
        <w:pStyle w:val="FootnoteText"/>
        <w:jc w:val="both"/>
        <w:rPr>
          <w:sz w:val="20"/>
          <w:szCs w:val="20"/>
        </w:rPr>
      </w:pPr>
      <w:r w:rsidRPr="000913EC">
        <w:rPr>
          <w:rStyle w:val="FootnoteReference"/>
          <w:sz w:val="20"/>
          <w:szCs w:val="20"/>
        </w:rPr>
        <w:footnoteRef/>
      </w:r>
      <w:r w:rsidRPr="000913EC">
        <w:rPr>
          <w:sz w:val="20"/>
          <w:szCs w:val="20"/>
        </w:rPr>
        <w:t xml:space="preserve"> </w:t>
      </w:r>
      <w:r>
        <w:rPr>
          <w:sz w:val="20"/>
          <w:szCs w:val="20"/>
        </w:rPr>
        <w:t xml:space="preserve">The receiving of honors by kings that was originally reserved for the gods becomes prevalent after Alexander the Great. </w:t>
      </w:r>
      <w:r w:rsidRPr="000913EC">
        <w:rPr>
          <w:sz w:val="20"/>
          <w:szCs w:val="20"/>
        </w:rPr>
        <w:t xml:space="preserve">Arrian recounts the words of Callisthenes who notes the </w:t>
      </w:r>
      <w:r w:rsidRPr="000913EC">
        <w:rPr>
          <w:i/>
          <w:iCs/>
          <w:sz w:val="20"/>
          <w:szCs w:val="20"/>
        </w:rPr>
        <w:t>earlier</w:t>
      </w:r>
      <w:r w:rsidRPr="000913EC">
        <w:rPr>
          <w:sz w:val="20"/>
          <w:szCs w:val="20"/>
        </w:rPr>
        <w:t xml:space="preserve"> distinction between honors reserved for gods and honors for humans: “Humans greet one another with a kiss, but divinity, I suppose because it is seated on high and must not be touched, is honored with obeisance, and choruses are established for the gods, and paeans are sung to them” (4.11).</w:t>
      </w:r>
    </w:p>
  </w:footnote>
  <w:footnote w:id="20">
    <w:p w14:paraId="0EBCF6C4" w14:textId="6F871F10" w:rsidR="00225DE7" w:rsidRPr="00BC49A6" w:rsidRDefault="00225DE7" w:rsidP="00BC49A6">
      <w:pPr>
        <w:pStyle w:val="FootnoteText"/>
        <w:jc w:val="both"/>
        <w:rPr>
          <w:sz w:val="20"/>
          <w:szCs w:val="20"/>
        </w:rPr>
      </w:pPr>
      <w:r>
        <w:rPr>
          <w:rStyle w:val="FootnoteReference"/>
        </w:rPr>
        <w:footnoteRef/>
      </w:r>
      <w:r>
        <w:t xml:space="preserve"> </w:t>
      </w:r>
      <w:r>
        <w:rPr>
          <w:sz w:val="20"/>
          <w:szCs w:val="20"/>
        </w:rPr>
        <w:t xml:space="preserve">F. W. Walbank, “Monarchies and Monarchic Ideas,” in </w:t>
      </w:r>
      <w:r>
        <w:rPr>
          <w:i/>
          <w:sz w:val="20"/>
          <w:szCs w:val="20"/>
        </w:rPr>
        <w:t>The Cambridge Ancient History</w:t>
      </w:r>
      <w:r>
        <w:rPr>
          <w:sz w:val="20"/>
          <w:szCs w:val="20"/>
        </w:rPr>
        <w:t xml:space="preserve"> (vol. 7.1; ed. F. W. Walbank, A. E. Astin, M. W. Frederiksen, and R.M. Ogilvie; Cambridge: Cambridge University Press, 1984), 62-100, here, 84-96; Horbury, </w:t>
      </w:r>
      <w:r w:rsidRPr="00115C53">
        <w:rPr>
          <w:i/>
          <w:iCs/>
          <w:sz w:val="20"/>
          <w:szCs w:val="20"/>
        </w:rPr>
        <w:t>Jewish Messianism and the Cult of Christ</w:t>
      </w:r>
      <w:r>
        <w:rPr>
          <w:sz w:val="20"/>
          <w:szCs w:val="20"/>
        </w:rPr>
        <w:t xml:space="preserve">, 70. See, for example, Virgil, </w:t>
      </w:r>
      <w:r w:rsidRPr="007F10E7">
        <w:rPr>
          <w:i/>
          <w:iCs/>
          <w:sz w:val="20"/>
          <w:szCs w:val="20"/>
        </w:rPr>
        <w:t>Aeneid</w:t>
      </w:r>
      <w:r>
        <w:rPr>
          <w:sz w:val="20"/>
          <w:szCs w:val="20"/>
        </w:rPr>
        <w:t xml:space="preserve"> 1.286-291; Ovid, </w:t>
      </w:r>
      <w:r w:rsidRPr="007F10E7">
        <w:rPr>
          <w:i/>
          <w:iCs/>
          <w:sz w:val="20"/>
          <w:szCs w:val="20"/>
        </w:rPr>
        <w:t>Metamorphoses</w:t>
      </w:r>
      <w:r>
        <w:rPr>
          <w:sz w:val="20"/>
          <w:szCs w:val="20"/>
        </w:rPr>
        <w:t>, 858-870.</w:t>
      </w:r>
    </w:p>
  </w:footnote>
  <w:footnote w:id="21">
    <w:p w14:paraId="77E8C12F" w14:textId="4C30B343" w:rsidR="00225DE7" w:rsidRPr="00BC49A6" w:rsidRDefault="00225DE7" w:rsidP="00BC49A6">
      <w:pPr>
        <w:pStyle w:val="FootnoteText"/>
        <w:jc w:val="both"/>
        <w:rPr>
          <w:sz w:val="20"/>
          <w:szCs w:val="20"/>
        </w:rPr>
      </w:pPr>
      <w:r>
        <w:rPr>
          <w:rStyle w:val="FootnoteReference"/>
        </w:rPr>
        <w:footnoteRef/>
      </w:r>
      <w:r>
        <w:t xml:space="preserve"> </w:t>
      </w:r>
      <w:r>
        <w:rPr>
          <w:sz w:val="20"/>
          <w:szCs w:val="20"/>
        </w:rPr>
        <w:t xml:space="preserve">It has been the signal contribution of Simon Price to demonstrate that the emperor cult was based upon and intertwined together with the cults of the gods. S. R. F. Price, </w:t>
      </w:r>
      <w:r w:rsidRPr="00BC49A6">
        <w:rPr>
          <w:i/>
          <w:iCs/>
          <w:sz w:val="20"/>
          <w:szCs w:val="20"/>
        </w:rPr>
        <w:t>Rituals and Power: The Roman Imperial Cult in Asia Minor</w:t>
      </w:r>
      <w:r>
        <w:rPr>
          <w:sz w:val="20"/>
          <w:szCs w:val="20"/>
        </w:rPr>
        <w:t xml:space="preserve"> (Cambridge: Cambridge University Press, 1984), 29-30, 32; Horbury, </w:t>
      </w:r>
      <w:r w:rsidRPr="00BC49A6">
        <w:rPr>
          <w:i/>
          <w:iCs/>
          <w:sz w:val="20"/>
          <w:szCs w:val="20"/>
        </w:rPr>
        <w:t>Jewish Messianism and the Cult of Christ</w:t>
      </w:r>
      <w:r>
        <w:rPr>
          <w:sz w:val="20"/>
          <w:szCs w:val="20"/>
        </w:rPr>
        <w:t xml:space="preserve">, 69.  On the imperial cults arising out of the cults that gave honors to Hellenistic rulers, see Paul Zanker, </w:t>
      </w:r>
      <w:r w:rsidRPr="00115C53">
        <w:rPr>
          <w:i/>
          <w:iCs/>
          <w:sz w:val="20"/>
          <w:szCs w:val="20"/>
        </w:rPr>
        <w:t>The Power of Images in the Age of Augustus</w:t>
      </w:r>
      <w:r>
        <w:rPr>
          <w:sz w:val="20"/>
          <w:szCs w:val="20"/>
        </w:rPr>
        <w:t xml:space="preserve"> (trans. Alan Shapiro; Ann Arbor, MI: University of Michigan Press, 1990), 297-302.  That one of, if not </w:t>
      </w:r>
      <w:r w:rsidRPr="005E332C">
        <w:rPr>
          <w:i/>
          <w:iCs/>
          <w:sz w:val="20"/>
          <w:szCs w:val="20"/>
        </w:rPr>
        <w:t>the</w:t>
      </w:r>
      <w:r>
        <w:rPr>
          <w:sz w:val="20"/>
          <w:szCs w:val="20"/>
        </w:rPr>
        <w:t xml:space="preserve">, primary responsibilities of the Roman emperor was hearing requests and petitions and then bestowing gifts and benefits has been demonstrated in detail by Fergus Millar, </w:t>
      </w:r>
      <w:r w:rsidRPr="005E332C">
        <w:rPr>
          <w:i/>
          <w:iCs/>
          <w:sz w:val="20"/>
          <w:szCs w:val="20"/>
        </w:rPr>
        <w:t>The Emperor in the Roman World (31 BC – AD 337)</w:t>
      </w:r>
      <w:r>
        <w:rPr>
          <w:sz w:val="20"/>
          <w:szCs w:val="20"/>
        </w:rPr>
        <w:t xml:space="preserve"> (London: Duckworth, 1977). </w:t>
      </w:r>
    </w:p>
  </w:footnote>
  <w:footnote w:id="22">
    <w:p w14:paraId="4E86A604" w14:textId="54006CDA" w:rsidR="00225DE7" w:rsidRPr="00BC49A6" w:rsidRDefault="00225DE7" w:rsidP="00BC49A6">
      <w:pPr>
        <w:pStyle w:val="FootnoteText"/>
        <w:jc w:val="both"/>
        <w:rPr>
          <w:sz w:val="20"/>
          <w:szCs w:val="20"/>
        </w:rPr>
      </w:pPr>
      <w:r>
        <w:rPr>
          <w:rStyle w:val="FootnoteReference"/>
        </w:rPr>
        <w:footnoteRef/>
      </w:r>
      <w:r>
        <w:t xml:space="preserve"> </w:t>
      </w:r>
      <w:r>
        <w:rPr>
          <w:sz w:val="20"/>
          <w:szCs w:val="20"/>
        </w:rPr>
        <w:t>Ittai Gradel [</w:t>
      </w:r>
      <w:r>
        <w:rPr>
          <w:i/>
          <w:sz w:val="20"/>
          <w:szCs w:val="20"/>
        </w:rPr>
        <w:t>Emperor Worship and Roman Religion</w:t>
      </w:r>
      <w:r>
        <w:rPr>
          <w:sz w:val="20"/>
          <w:szCs w:val="20"/>
        </w:rPr>
        <w:t xml:space="preserve"> (Oxford Classical Monographs; Oxford: Clarendon Press, 2002), 26] refers to this as “the honours-for-benefactions structure found in all relationships between parties of vastly unequal power and social standing in Roman society, such as in the interplay between subjects and ruler, cities and benefactors, dependants and patrons, slaves and masters.” Price, </w:t>
      </w:r>
      <w:r>
        <w:rPr>
          <w:i/>
          <w:iCs/>
          <w:sz w:val="20"/>
          <w:szCs w:val="20"/>
        </w:rPr>
        <w:t>Rituals and Power</w:t>
      </w:r>
      <w:r>
        <w:rPr>
          <w:iCs/>
          <w:sz w:val="20"/>
          <w:szCs w:val="20"/>
        </w:rPr>
        <w:t>,</w:t>
      </w:r>
      <w:r>
        <w:rPr>
          <w:i/>
          <w:iCs/>
          <w:sz w:val="20"/>
          <w:szCs w:val="20"/>
        </w:rPr>
        <w:t xml:space="preserve"> </w:t>
      </w:r>
      <w:r>
        <w:rPr>
          <w:sz w:val="20"/>
          <w:szCs w:val="20"/>
        </w:rPr>
        <w:t xml:space="preserve">23: “Ruler cults established by the Hellenistic cities are just honours granted in gratitude for political benefactions.”  This explains the why emperors (generally) avoided getting involved in establishing their own cults and why it was, rather, initiated voluntarily by the emperor’s subjects.  See further Duncan Fishwick, “Dio and Maecenas: The Emperor and the Ruler Cult,” </w:t>
      </w:r>
      <w:r w:rsidRPr="00A673AB">
        <w:rPr>
          <w:i/>
          <w:iCs/>
          <w:sz w:val="20"/>
          <w:szCs w:val="20"/>
        </w:rPr>
        <w:t>Phoenix</w:t>
      </w:r>
      <w:r>
        <w:rPr>
          <w:sz w:val="20"/>
          <w:szCs w:val="20"/>
        </w:rPr>
        <w:t xml:space="preserve"> 44 (1990): 267-275.</w:t>
      </w:r>
    </w:p>
  </w:footnote>
  <w:footnote w:id="23">
    <w:p w14:paraId="27242ACB" w14:textId="4078AB2D" w:rsidR="00225DE7" w:rsidRPr="00BC49A6" w:rsidRDefault="00225DE7" w:rsidP="00BC49A6">
      <w:pPr>
        <w:pStyle w:val="FootnoteText"/>
        <w:jc w:val="both"/>
        <w:rPr>
          <w:sz w:val="20"/>
          <w:szCs w:val="20"/>
        </w:rPr>
      </w:pPr>
      <w:r>
        <w:rPr>
          <w:rStyle w:val="FootnoteReference"/>
        </w:rPr>
        <w:footnoteRef/>
      </w:r>
      <w:r>
        <w:t xml:space="preserve"> </w:t>
      </w:r>
      <w:r>
        <w:rPr>
          <w:sz w:val="20"/>
          <w:szCs w:val="20"/>
        </w:rPr>
        <w:t xml:space="preserve">See Alison E. Cooley, </w:t>
      </w:r>
      <w:r w:rsidRPr="00BC49A6">
        <w:rPr>
          <w:i/>
          <w:iCs/>
          <w:sz w:val="20"/>
          <w:szCs w:val="20"/>
        </w:rPr>
        <w:t>Res Gestae Divi Augusti: Text, Translation, and Commentary</w:t>
      </w:r>
      <w:r>
        <w:rPr>
          <w:sz w:val="20"/>
          <w:szCs w:val="20"/>
        </w:rPr>
        <w:t xml:space="preserve"> (Cambridge: Cambridge University Press, 2009).  See further, Zvi Yavetz, “The </w:t>
      </w:r>
      <w:r w:rsidRPr="00BA11C4">
        <w:rPr>
          <w:i/>
          <w:iCs/>
          <w:sz w:val="20"/>
          <w:szCs w:val="20"/>
        </w:rPr>
        <w:t>Res Gestae</w:t>
      </w:r>
      <w:r>
        <w:rPr>
          <w:sz w:val="20"/>
          <w:szCs w:val="20"/>
        </w:rPr>
        <w:t xml:space="preserve"> and Augustus’ Public Image,” in </w:t>
      </w:r>
      <w:r w:rsidRPr="00BA11C4">
        <w:rPr>
          <w:i/>
          <w:iCs/>
          <w:sz w:val="20"/>
          <w:szCs w:val="20"/>
        </w:rPr>
        <w:t>Caesar Augustus: Seven Aspects</w:t>
      </w:r>
      <w:r>
        <w:rPr>
          <w:sz w:val="20"/>
          <w:szCs w:val="20"/>
        </w:rPr>
        <w:t xml:space="preserve"> (eds. Fergus Millar and Erich Segal; Oxford: Clarendon Press, 1984), 1-36.</w:t>
      </w:r>
    </w:p>
  </w:footnote>
  <w:footnote w:id="24">
    <w:p w14:paraId="6D377F85" w14:textId="7CFC22C3" w:rsidR="00225DE7" w:rsidRPr="00B35F00" w:rsidRDefault="00225DE7" w:rsidP="00B35F00">
      <w:pPr>
        <w:pStyle w:val="FootnoteText"/>
        <w:jc w:val="both"/>
        <w:rPr>
          <w:sz w:val="20"/>
          <w:szCs w:val="20"/>
        </w:rPr>
      </w:pPr>
      <w:r>
        <w:rPr>
          <w:rStyle w:val="FootnoteReference"/>
        </w:rPr>
        <w:footnoteRef/>
      </w:r>
      <w:r>
        <w:t xml:space="preserve"> </w:t>
      </w:r>
      <w:r>
        <w:rPr>
          <w:sz w:val="20"/>
          <w:szCs w:val="20"/>
        </w:rPr>
        <w:t>Augustus is described as the one who when “the whole humans race was on the verge of destruction” (144)“calmed the torrential storms” (145)</w:t>
      </w:r>
    </w:p>
  </w:footnote>
  <w:footnote w:id="25">
    <w:p w14:paraId="2AD2BFD5" w14:textId="12BB48D7" w:rsidR="00225DE7" w:rsidRPr="00A673AB" w:rsidRDefault="00225DE7" w:rsidP="00A673AB">
      <w:pPr>
        <w:pStyle w:val="FootnoteText"/>
        <w:jc w:val="both"/>
        <w:rPr>
          <w:sz w:val="20"/>
          <w:szCs w:val="20"/>
        </w:rPr>
      </w:pPr>
      <w:r>
        <w:rPr>
          <w:rStyle w:val="FootnoteReference"/>
        </w:rPr>
        <w:footnoteRef/>
      </w:r>
      <w:r>
        <w:t xml:space="preserve"> </w:t>
      </w:r>
      <w:r>
        <w:rPr>
          <w:sz w:val="20"/>
          <w:szCs w:val="20"/>
        </w:rPr>
        <w:t xml:space="preserve">I am not claiming that there is no distinction between the earlier Hellenistic ruler cults and the Roman emperor cults as there was certainly an incredible heightening of the honors bestowed upon Augustus who was now seen as the benefactor to the entire world.  However, what is significant for my purposes is that both ruler cult and Roman emperor cult share the similar honor-for-benefaction system as well as the assimilation and identification of rulers with gods. See Price, “Rituals and Power,” 52-55. Cf. Karl Galinsky, </w:t>
      </w:r>
      <w:r w:rsidRPr="005E332C">
        <w:rPr>
          <w:i/>
          <w:iCs/>
          <w:sz w:val="20"/>
          <w:szCs w:val="20"/>
        </w:rPr>
        <w:t>Augustan Culture: An Interpretive Introduction</w:t>
      </w:r>
      <w:r>
        <w:rPr>
          <w:sz w:val="20"/>
          <w:szCs w:val="20"/>
        </w:rPr>
        <w:t xml:space="preserve"> (Princeton, NJ: Princeton University Press, 1996), 322-331.</w:t>
      </w:r>
    </w:p>
  </w:footnote>
  <w:footnote w:id="26">
    <w:p w14:paraId="2C607F07" w14:textId="143623FD" w:rsidR="00225DE7" w:rsidRPr="00BC49A6" w:rsidRDefault="00225DE7" w:rsidP="00BC49A6">
      <w:pPr>
        <w:pStyle w:val="FootnoteText"/>
        <w:jc w:val="both"/>
        <w:rPr>
          <w:sz w:val="20"/>
          <w:szCs w:val="20"/>
        </w:rPr>
      </w:pPr>
      <w:r>
        <w:rPr>
          <w:rStyle w:val="FootnoteReference"/>
        </w:rPr>
        <w:footnoteRef/>
      </w:r>
      <w:r>
        <w:t xml:space="preserve"> </w:t>
      </w:r>
      <w:r>
        <w:rPr>
          <w:sz w:val="20"/>
          <w:szCs w:val="20"/>
        </w:rPr>
        <w:t xml:space="preserve">See Michael Peppard, </w:t>
      </w:r>
      <w:r w:rsidRPr="00BC49A6">
        <w:rPr>
          <w:i/>
          <w:iCs/>
          <w:sz w:val="20"/>
          <w:szCs w:val="20"/>
        </w:rPr>
        <w:t>The Son of God in the Roman World: Divine Sonship in Its Social and Political Context</w:t>
      </w:r>
      <w:r>
        <w:rPr>
          <w:sz w:val="20"/>
          <w:szCs w:val="20"/>
        </w:rPr>
        <w:t xml:space="preserve"> (Oxford: Oxford University Press, 2011), 35: “When continuous benefactions led to continuous honors, that process could admittedly lead to a kind of ontology – a status solidified because of a god’s perpetual benefactions.  But this was a process nonetheless: divinity was dynamic.”</w:t>
      </w:r>
    </w:p>
  </w:footnote>
  <w:footnote w:id="27">
    <w:p w14:paraId="4A6F9ABF" w14:textId="092F6607" w:rsidR="00225DE7" w:rsidRPr="00BC49A6" w:rsidRDefault="00225DE7" w:rsidP="00BC49A6">
      <w:pPr>
        <w:pStyle w:val="FootnoteText"/>
        <w:jc w:val="both"/>
        <w:rPr>
          <w:sz w:val="20"/>
          <w:szCs w:val="20"/>
        </w:rPr>
      </w:pPr>
      <w:r>
        <w:rPr>
          <w:rStyle w:val="FootnoteReference"/>
        </w:rPr>
        <w:footnoteRef/>
      </w:r>
      <w:r>
        <w:t xml:space="preserve"> </w:t>
      </w:r>
      <w:r>
        <w:rPr>
          <w:sz w:val="20"/>
          <w:szCs w:val="20"/>
        </w:rPr>
        <w:t>See the Greek maxim</w:t>
      </w:r>
      <w:r w:rsidRPr="00BC49A6">
        <w:rPr>
          <w:sz w:val="20"/>
          <w:szCs w:val="20"/>
        </w:rPr>
        <w:t xml:space="preserve">: </w:t>
      </w:r>
      <w:r>
        <w:rPr>
          <w:sz w:val="20"/>
          <w:szCs w:val="20"/>
        </w:rPr>
        <w:t>“</w:t>
      </w:r>
      <w:r w:rsidRPr="00BC49A6">
        <w:rPr>
          <w:sz w:val="20"/>
          <w:szCs w:val="20"/>
        </w:rPr>
        <w:t>What is a god? The exercise of power. What is a king? God-like.</w:t>
      </w:r>
      <w:r>
        <w:rPr>
          <w:sz w:val="20"/>
          <w:szCs w:val="20"/>
        </w:rPr>
        <w:t xml:space="preserve">”  Quoted in Price, “Gods and Emperors,” 95. Gradel, </w:t>
      </w:r>
      <w:r w:rsidRPr="00B35F00">
        <w:rPr>
          <w:i/>
          <w:iCs/>
          <w:sz w:val="20"/>
          <w:szCs w:val="20"/>
        </w:rPr>
        <w:t>Emperor Worship and Roman Religion,</w:t>
      </w:r>
      <w:r>
        <w:rPr>
          <w:sz w:val="20"/>
          <w:szCs w:val="20"/>
        </w:rPr>
        <w:t xml:space="preserve"> 72, states: “What mattered was power, again </w:t>
      </w:r>
      <w:r w:rsidRPr="00B35F00">
        <w:rPr>
          <w:i/>
          <w:iCs/>
          <w:sz w:val="20"/>
          <w:szCs w:val="20"/>
        </w:rPr>
        <w:t>relative</w:t>
      </w:r>
      <w:r>
        <w:rPr>
          <w:sz w:val="20"/>
          <w:szCs w:val="20"/>
        </w:rPr>
        <w:t xml:space="preserve"> divinity, and Caesar’s power was at this stage unquestioned, as was Jupiter’s.  Absolute power entailed divinity and vice versa.”</w:t>
      </w:r>
    </w:p>
  </w:footnote>
  <w:footnote w:id="28">
    <w:p w14:paraId="46C223C6" w14:textId="32D3809A" w:rsidR="00225DE7" w:rsidRPr="00BC49A6" w:rsidRDefault="00225DE7">
      <w:pPr>
        <w:pStyle w:val="FootnoteText"/>
        <w:rPr>
          <w:sz w:val="20"/>
          <w:szCs w:val="20"/>
        </w:rPr>
      </w:pPr>
      <w:r>
        <w:rPr>
          <w:rStyle w:val="FootnoteReference"/>
        </w:rPr>
        <w:footnoteRef/>
      </w:r>
      <w:r>
        <w:t xml:space="preserve"> </w:t>
      </w:r>
      <w:r>
        <w:rPr>
          <w:sz w:val="20"/>
          <w:szCs w:val="20"/>
        </w:rPr>
        <w:t>So Walbank,</w:t>
      </w:r>
      <w:r w:rsidRPr="00BC49A6">
        <w:rPr>
          <w:sz w:val="20"/>
          <w:szCs w:val="20"/>
        </w:rPr>
        <w:t xml:space="preserve"> </w:t>
      </w:r>
      <w:r>
        <w:rPr>
          <w:sz w:val="20"/>
          <w:szCs w:val="20"/>
        </w:rPr>
        <w:t>“Monarchies and Monarchic Ideas,” 93-94.</w:t>
      </w:r>
    </w:p>
  </w:footnote>
  <w:footnote w:id="29">
    <w:p w14:paraId="65032612" w14:textId="717E655D" w:rsidR="00225DE7" w:rsidRPr="00BC49A6" w:rsidRDefault="00225DE7" w:rsidP="00BC49A6">
      <w:pPr>
        <w:pStyle w:val="FootnoteText"/>
        <w:jc w:val="both"/>
        <w:rPr>
          <w:sz w:val="20"/>
          <w:szCs w:val="20"/>
        </w:rPr>
      </w:pPr>
      <w:r>
        <w:rPr>
          <w:rStyle w:val="FootnoteReference"/>
        </w:rPr>
        <w:footnoteRef/>
      </w:r>
      <w:r>
        <w:t xml:space="preserve"> </w:t>
      </w:r>
      <w:r>
        <w:rPr>
          <w:sz w:val="20"/>
          <w:szCs w:val="20"/>
        </w:rPr>
        <w:t xml:space="preserve">For text and translation, see Earnest Cary, </w:t>
      </w:r>
      <w:r w:rsidRPr="00BC49A6">
        <w:rPr>
          <w:i/>
          <w:iCs/>
          <w:sz w:val="20"/>
          <w:szCs w:val="20"/>
        </w:rPr>
        <w:t>Dio’s Roman History</w:t>
      </w:r>
      <w:r>
        <w:rPr>
          <w:i/>
          <w:iCs/>
          <w:sz w:val="20"/>
          <w:szCs w:val="20"/>
        </w:rPr>
        <w:t>: In Nine Volumes</w:t>
      </w:r>
      <w:r>
        <w:rPr>
          <w:iCs/>
          <w:sz w:val="20"/>
          <w:szCs w:val="20"/>
        </w:rPr>
        <w:t xml:space="preserve"> (Loeb Classical Library; Cambridge: MA: Harvard University Press, 1980).</w:t>
      </w:r>
    </w:p>
  </w:footnote>
  <w:footnote w:id="30">
    <w:p w14:paraId="587F7DF1" w14:textId="3C4138D1" w:rsidR="00225DE7" w:rsidRPr="00A673AB" w:rsidRDefault="00225DE7" w:rsidP="009F7F5E">
      <w:pPr>
        <w:pStyle w:val="FootnoteText"/>
        <w:jc w:val="both"/>
        <w:rPr>
          <w:sz w:val="20"/>
          <w:szCs w:val="20"/>
        </w:rPr>
      </w:pPr>
      <w:r>
        <w:rPr>
          <w:rStyle w:val="FootnoteReference"/>
        </w:rPr>
        <w:footnoteRef/>
      </w:r>
      <w:r>
        <w:t xml:space="preserve"> </w:t>
      </w:r>
      <w:r w:rsidRPr="00A673AB">
        <w:rPr>
          <w:i/>
          <w:iCs/>
          <w:sz w:val="20"/>
          <w:szCs w:val="20"/>
        </w:rPr>
        <w:t>Fragmenta Historicorum Graecorum</w:t>
      </w:r>
      <w:r>
        <w:rPr>
          <w:sz w:val="20"/>
          <w:szCs w:val="20"/>
        </w:rPr>
        <w:t xml:space="preserve"> 90 F 125; also see, S. R. F. Price, “Rituals and Power,” in </w:t>
      </w:r>
      <w:r w:rsidRPr="00A673AB">
        <w:rPr>
          <w:i/>
          <w:iCs/>
          <w:sz w:val="20"/>
          <w:szCs w:val="20"/>
        </w:rPr>
        <w:t>Paul and Empire: Religion and Power in Roman Imperial Society</w:t>
      </w:r>
      <w:r>
        <w:rPr>
          <w:sz w:val="20"/>
          <w:szCs w:val="20"/>
        </w:rPr>
        <w:t xml:space="preserve"> (ed. Richard A. Horsley; Harrisburg, PA: Trinity Press International, 1997), 47.</w:t>
      </w:r>
    </w:p>
  </w:footnote>
  <w:footnote w:id="31">
    <w:p w14:paraId="51B5A693" w14:textId="4D5578FF" w:rsidR="00225DE7" w:rsidRPr="00A673AB" w:rsidRDefault="00225DE7" w:rsidP="009F7F5E">
      <w:pPr>
        <w:pStyle w:val="FootnoteText"/>
        <w:jc w:val="both"/>
        <w:rPr>
          <w:sz w:val="20"/>
          <w:szCs w:val="20"/>
        </w:rPr>
      </w:pPr>
      <w:r>
        <w:rPr>
          <w:rStyle w:val="FootnoteReference"/>
        </w:rPr>
        <w:footnoteRef/>
      </w:r>
      <w:r>
        <w:t xml:space="preserve"> </w:t>
      </w:r>
      <w:r>
        <w:rPr>
          <w:sz w:val="20"/>
          <w:szCs w:val="20"/>
        </w:rPr>
        <w:t xml:space="preserve">On the celebration of festivals for the emperor, see Price, </w:t>
      </w:r>
      <w:r w:rsidRPr="00A673AB">
        <w:rPr>
          <w:i/>
          <w:iCs/>
          <w:sz w:val="20"/>
          <w:szCs w:val="20"/>
        </w:rPr>
        <w:t>Rituals and Power</w:t>
      </w:r>
      <w:r>
        <w:rPr>
          <w:sz w:val="20"/>
          <w:szCs w:val="20"/>
        </w:rPr>
        <w:t>, ch. 3.</w:t>
      </w:r>
    </w:p>
  </w:footnote>
  <w:footnote w:id="32">
    <w:p w14:paraId="400D0454" w14:textId="1EDD2BAA" w:rsidR="00225DE7" w:rsidRPr="00BC49A6" w:rsidRDefault="00225DE7" w:rsidP="009F7F5E">
      <w:pPr>
        <w:pStyle w:val="FootnoteText"/>
        <w:jc w:val="both"/>
        <w:rPr>
          <w:sz w:val="20"/>
          <w:szCs w:val="20"/>
        </w:rPr>
      </w:pPr>
      <w:r>
        <w:rPr>
          <w:rStyle w:val="FootnoteReference"/>
        </w:rPr>
        <w:footnoteRef/>
      </w:r>
      <w:r>
        <w:t xml:space="preserve"> </w:t>
      </w:r>
      <w:r>
        <w:rPr>
          <w:sz w:val="20"/>
          <w:szCs w:val="20"/>
        </w:rPr>
        <w:t xml:space="preserve">Simon R. F. Price [“Gods and Emperors: The Greek Language of the Roman Imperial Cult,” </w:t>
      </w:r>
      <w:r w:rsidRPr="00BC49A6">
        <w:rPr>
          <w:i/>
          <w:iCs/>
          <w:sz w:val="20"/>
          <w:szCs w:val="20"/>
        </w:rPr>
        <w:t>Journal of Hellenic Studies</w:t>
      </w:r>
      <w:r>
        <w:rPr>
          <w:sz w:val="20"/>
          <w:szCs w:val="20"/>
        </w:rPr>
        <w:t xml:space="preserve"> 104 (1984): 79-95, here, 90] states: “Praising both kings and emperors was calqued on the cult of the gods.” See also, Horbury, </w:t>
      </w:r>
      <w:r w:rsidRPr="00A673AB">
        <w:rPr>
          <w:i/>
          <w:iCs/>
          <w:sz w:val="20"/>
          <w:szCs w:val="20"/>
        </w:rPr>
        <w:t>Jewish Messianism and the Cult of Christ</w:t>
      </w:r>
      <w:r>
        <w:rPr>
          <w:sz w:val="20"/>
          <w:szCs w:val="20"/>
        </w:rPr>
        <w:t xml:space="preserve">, 68-77; David E. Aune, “The Influence of Roman Imperial Court Ceremonial on the Apocalypse of John,” </w:t>
      </w:r>
      <w:r>
        <w:rPr>
          <w:i/>
          <w:iCs/>
          <w:sz w:val="20"/>
          <w:szCs w:val="20"/>
        </w:rPr>
        <w:t>Papers of the Chicago Society for B</w:t>
      </w:r>
      <w:r w:rsidRPr="009F7F5E">
        <w:rPr>
          <w:i/>
          <w:iCs/>
          <w:sz w:val="20"/>
          <w:szCs w:val="20"/>
        </w:rPr>
        <w:t>iblical Research</w:t>
      </w:r>
      <w:r>
        <w:rPr>
          <w:sz w:val="20"/>
          <w:szCs w:val="20"/>
        </w:rPr>
        <w:t xml:space="preserve"> 28 (1983): 5-26, here, 16.</w:t>
      </w:r>
    </w:p>
  </w:footnote>
  <w:footnote w:id="33">
    <w:p w14:paraId="2103B7F3" w14:textId="6E4ADD1B" w:rsidR="00225DE7" w:rsidRPr="009F7F5E" w:rsidRDefault="00225DE7" w:rsidP="009F7F5E">
      <w:pPr>
        <w:pStyle w:val="FootnoteText"/>
        <w:jc w:val="both"/>
        <w:rPr>
          <w:sz w:val="20"/>
          <w:szCs w:val="20"/>
        </w:rPr>
      </w:pPr>
      <w:r>
        <w:rPr>
          <w:rStyle w:val="FootnoteReference"/>
        </w:rPr>
        <w:footnoteRef/>
      </w:r>
      <w:r>
        <w:t xml:space="preserve"> </w:t>
      </w:r>
      <w:r>
        <w:rPr>
          <w:sz w:val="20"/>
          <w:szCs w:val="20"/>
        </w:rPr>
        <w:t xml:space="preserve">On Plutarch’s depiction of Lysander as the first Greek to receive divine honors, see Lily Ross Taylor, </w:t>
      </w:r>
      <w:r w:rsidRPr="009F7F5E">
        <w:rPr>
          <w:i/>
          <w:iCs/>
          <w:sz w:val="20"/>
          <w:szCs w:val="20"/>
        </w:rPr>
        <w:t>The Divinity of the Roman Emperor</w:t>
      </w:r>
      <w:r>
        <w:rPr>
          <w:sz w:val="20"/>
          <w:szCs w:val="20"/>
        </w:rPr>
        <w:t xml:space="preserve"> (American Philological Association Monograph Series 1; Middletown, CT: 1931), 11.</w:t>
      </w:r>
    </w:p>
  </w:footnote>
  <w:footnote w:id="34">
    <w:p w14:paraId="16B5524D" w14:textId="77E9EEA9" w:rsidR="00225DE7" w:rsidRPr="00A673AB" w:rsidRDefault="00225DE7" w:rsidP="00A673AB">
      <w:pPr>
        <w:pStyle w:val="FootnoteText"/>
        <w:jc w:val="both"/>
        <w:rPr>
          <w:sz w:val="20"/>
          <w:szCs w:val="20"/>
        </w:rPr>
      </w:pPr>
      <w:r>
        <w:rPr>
          <w:rStyle w:val="FootnoteReference"/>
        </w:rPr>
        <w:footnoteRef/>
      </w:r>
      <w:r>
        <w:t xml:space="preserve"> </w:t>
      </w:r>
      <w:r>
        <w:rPr>
          <w:sz w:val="20"/>
          <w:szCs w:val="20"/>
        </w:rPr>
        <w:t xml:space="preserve">A few lines later the Athenians again flatter the king: “For other gods are either far away or have not ears, or are not, or heed us not at all; but you we can see in very presence, not in wood and not in stone, but in truth. And so we pray to you.  First, bring peace!” (Athenaeus, </w:t>
      </w:r>
      <w:r w:rsidRPr="00A673AB">
        <w:rPr>
          <w:i/>
          <w:iCs/>
          <w:sz w:val="20"/>
          <w:szCs w:val="20"/>
        </w:rPr>
        <w:t>Deipnosophistae</w:t>
      </w:r>
      <w:r>
        <w:rPr>
          <w:sz w:val="20"/>
          <w:szCs w:val="20"/>
        </w:rPr>
        <w:t xml:space="preserve"> 6.253d-e). For text and translation, see Charles Burton Gulick, </w:t>
      </w:r>
      <w:r w:rsidRPr="00A673AB">
        <w:rPr>
          <w:i/>
          <w:iCs/>
          <w:sz w:val="20"/>
          <w:szCs w:val="20"/>
        </w:rPr>
        <w:t>Athenaeus: The Deipnosophists</w:t>
      </w:r>
      <w:r>
        <w:rPr>
          <w:i/>
          <w:iCs/>
          <w:sz w:val="20"/>
          <w:szCs w:val="20"/>
        </w:rPr>
        <w:t xml:space="preserve"> </w:t>
      </w:r>
      <w:r>
        <w:rPr>
          <w:iCs/>
          <w:sz w:val="20"/>
          <w:szCs w:val="20"/>
        </w:rPr>
        <w:t>(7 vols. Loeb Classical Library; Cambridge, MA: Harvard University Press, 1957).</w:t>
      </w:r>
    </w:p>
  </w:footnote>
  <w:footnote w:id="35">
    <w:p w14:paraId="3FA26E43" w14:textId="4CA0728D" w:rsidR="00225DE7" w:rsidRPr="00F36CCB" w:rsidRDefault="00225DE7" w:rsidP="00401DAC">
      <w:pPr>
        <w:pStyle w:val="FootnoteText"/>
        <w:jc w:val="both"/>
        <w:rPr>
          <w:sz w:val="20"/>
          <w:szCs w:val="20"/>
        </w:rPr>
      </w:pPr>
      <w:r w:rsidRPr="00F36CCB">
        <w:rPr>
          <w:rStyle w:val="FootnoteReference"/>
          <w:sz w:val="20"/>
          <w:szCs w:val="20"/>
        </w:rPr>
        <w:footnoteRef/>
      </w:r>
      <w:r w:rsidRPr="00F36CCB">
        <w:rPr>
          <w:sz w:val="20"/>
          <w:szCs w:val="20"/>
        </w:rPr>
        <w:t xml:space="preserve"> The praise reflected in these hymns is representative of the worship that stems from a dynastic cult.</w:t>
      </w:r>
      <w:r>
        <w:rPr>
          <w:sz w:val="20"/>
          <w:szCs w:val="20"/>
        </w:rPr>
        <w:t xml:space="preserve"> Though these</w:t>
      </w:r>
      <w:r w:rsidRPr="00F36CCB">
        <w:rPr>
          <w:sz w:val="20"/>
          <w:szCs w:val="20"/>
        </w:rPr>
        <w:t xml:space="preserve"> cults had more of a top-down structure</w:t>
      </w:r>
      <w:r>
        <w:rPr>
          <w:sz w:val="20"/>
          <w:szCs w:val="20"/>
        </w:rPr>
        <w:t xml:space="preserve">, divinity </w:t>
      </w:r>
      <w:r w:rsidRPr="00F36CCB">
        <w:rPr>
          <w:sz w:val="20"/>
          <w:szCs w:val="20"/>
        </w:rPr>
        <w:t xml:space="preserve">and benefaction were essential components of Ptolemaic and Seleucid kingship as is evident in </w:t>
      </w:r>
      <w:r>
        <w:rPr>
          <w:sz w:val="20"/>
          <w:szCs w:val="20"/>
        </w:rPr>
        <w:t>the fact that</w:t>
      </w:r>
      <w:r w:rsidRPr="00F36CCB">
        <w:rPr>
          <w:sz w:val="20"/>
          <w:szCs w:val="20"/>
        </w:rPr>
        <w:t xml:space="preserve"> many of the kings adopted the honorific “Benefactor” (e.g., Ptolemy III, Antigonus III Doson, Mithrida</w:t>
      </w:r>
      <w:r>
        <w:rPr>
          <w:sz w:val="20"/>
          <w:szCs w:val="20"/>
        </w:rPr>
        <w:t>tes V, Ptolemy VIII). S</w:t>
      </w:r>
      <w:r w:rsidRPr="00F36CCB">
        <w:rPr>
          <w:sz w:val="20"/>
          <w:szCs w:val="20"/>
        </w:rPr>
        <w:t xml:space="preserve">ee Klaus Bringmann, “The King as Benefactor: Some Remarks on Ideal Kingship in the Age of Hellenism,” in </w:t>
      </w:r>
      <w:r w:rsidRPr="00F36CCB">
        <w:rPr>
          <w:i/>
          <w:iCs/>
          <w:sz w:val="20"/>
          <w:szCs w:val="20"/>
        </w:rPr>
        <w:t>Images and Ideologies: Self-definition in the Hellenistic World</w:t>
      </w:r>
      <w:r w:rsidRPr="00F36CCB">
        <w:rPr>
          <w:sz w:val="20"/>
          <w:szCs w:val="20"/>
        </w:rPr>
        <w:t xml:space="preserve"> (eds. Anthony Bulloch et al., Hellenistic Culture and Society 12; Berkeley: University of California Press, 1993), 7-24; Duncan Fishwick, </w:t>
      </w:r>
      <w:r w:rsidRPr="00F36CCB">
        <w:rPr>
          <w:i/>
          <w:iCs/>
          <w:sz w:val="20"/>
          <w:szCs w:val="20"/>
        </w:rPr>
        <w:t>The Imperial Cult in the Latin West: Studies in the Ruler Cult of the Western Provinces of the Roman Empire</w:t>
      </w:r>
      <w:r w:rsidRPr="00F36CCB">
        <w:rPr>
          <w:sz w:val="20"/>
          <w:szCs w:val="20"/>
        </w:rPr>
        <w:t xml:space="preserve"> (2 vols.; Leiden: Brill, 1987), 1.1-20.</w:t>
      </w:r>
    </w:p>
  </w:footnote>
  <w:footnote w:id="36">
    <w:p w14:paraId="6E7A92BA" w14:textId="6B02DC49" w:rsidR="00225DE7" w:rsidRPr="009F7F5E" w:rsidRDefault="00225DE7" w:rsidP="009F7F5E">
      <w:pPr>
        <w:pStyle w:val="FootnoteText"/>
        <w:jc w:val="both"/>
        <w:rPr>
          <w:sz w:val="20"/>
          <w:szCs w:val="20"/>
        </w:rPr>
      </w:pPr>
      <w:r>
        <w:rPr>
          <w:rStyle w:val="FootnoteReference"/>
        </w:rPr>
        <w:footnoteRef/>
      </w:r>
      <w:r>
        <w:t xml:space="preserve"> </w:t>
      </w:r>
      <w:r>
        <w:rPr>
          <w:sz w:val="20"/>
          <w:szCs w:val="20"/>
        </w:rPr>
        <w:t xml:space="preserve">Callimachus was a client of Ptolemy II who composed numerous hymns, epigrams, and court poetry. Further, see Peter Green, </w:t>
      </w:r>
      <w:r w:rsidRPr="009F7F5E">
        <w:rPr>
          <w:i/>
          <w:iCs/>
          <w:sz w:val="20"/>
          <w:szCs w:val="20"/>
        </w:rPr>
        <w:t>Alexander to Actium: The Historical Evolution of the Hellenistic Age</w:t>
      </w:r>
      <w:r>
        <w:rPr>
          <w:sz w:val="20"/>
          <w:szCs w:val="20"/>
        </w:rPr>
        <w:t xml:space="preserve"> (Berkeley, CA: University of California Press, 1990), 179-186. On Callimachus’ kingship ideology, see Ludwig Koenen, “The Ptolemaic King as a Religious Figure,” in </w:t>
      </w:r>
      <w:r w:rsidRPr="009919C7">
        <w:rPr>
          <w:i/>
          <w:iCs/>
          <w:sz w:val="20"/>
          <w:szCs w:val="20"/>
        </w:rPr>
        <w:t>Images and Ideologies: Self-definition in the Hellenistic World</w:t>
      </w:r>
      <w:r>
        <w:rPr>
          <w:sz w:val="20"/>
          <w:szCs w:val="20"/>
        </w:rPr>
        <w:t xml:space="preserve"> (eds. Anthony Bulloch et al., Hellenistic Culture and Society 12; Berkeley: University of California Press, 1993), 81-113.</w:t>
      </w:r>
    </w:p>
  </w:footnote>
  <w:footnote w:id="37">
    <w:p w14:paraId="202983C1" w14:textId="5FCEDF35" w:rsidR="00225DE7" w:rsidRPr="00A673AB" w:rsidRDefault="00225DE7" w:rsidP="00A673AB">
      <w:pPr>
        <w:pStyle w:val="FootnoteText"/>
        <w:jc w:val="both"/>
        <w:rPr>
          <w:sz w:val="20"/>
          <w:szCs w:val="20"/>
        </w:rPr>
      </w:pPr>
      <w:r>
        <w:rPr>
          <w:rStyle w:val="FootnoteReference"/>
        </w:rPr>
        <w:footnoteRef/>
      </w:r>
      <w:r>
        <w:t xml:space="preserve"> </w:t>
      </w:r>
      <w:r>
        <w:rPr>
          <w:sz w:val="20"/>
          <w:szCs w:val="20"/>
        </w:rPr>
        <w:t xml:space="preserve">For text and translation, see G. R. Mair, </w:t>
      </w:r>
      <w:r w:rsidRPr="00A673AB">
        <w:rPr>
          <w:i/>
          <w:iCs/>
          <w:sz w:val="20"/>
          <w:szCs w:val="20"/>
        </w:rPr>
        <w:t>Callimachus, Hymns and Epigrams. Lycophoron. Aratus</w:t>
      </w:r>
      <w:r>
        <w:rPr>
          <w:sz w:val="20"/>
          <w:szCs w:val="20"/>
        </w:rPr>
        <w:t xml:space="preserve"> (Loeb Classical Library; Cambridge, MA: Harvard University Press, 1969).</w:t>
      </w:r>
      <w:r w:rsidRPr="003C34BC">
        <w:rPr>
          <w:sz w:val="20"/>
          <w:szCs w:val="20"/>
        </w:rPr>
        <w:t xml:space="preserve"> </w:t>
      </w:r>
      <w:r w:rsidRPr="00453DD4">
        <w:rPr>
          <w:sz w:val="20"/>
          <w:szCs w:val="20"/>
        </w:rPr>
        <w:t xml:space="preserve">Both Hellenistic and Roman kingship ideology repeatedly speak of the king as elected by the gods to rule on the god’s behalf.  This is interconnected with the king’s identification and/or assimilation to a particular god, usually Zeus. On this, see the excellent and comprehensive study of J. Rufus Fears, </w:t>
      </w:r>
      <w:r w:rsidRPr="00453DD4">
        <w:rPr>
          <w:i/>
          <w:iCs/>
          <w:sz w:val="20"/>
          <w:szCs w:val="20"/>
        </w:rPr>
        <w:t>PRINCEPS A DIIS ELECTUS: The Divine Election of the Emperor as Political Concept at Rome</w:t>
      </w:r>
      <w:r w:rsidRPr="00453DD4">
        <w:rPr>
          <w:sz w:val="20"/>
          <w:szCs w:val="20"/>
        </w:rPr>
        <w:t xml:space="preserve"> (Rome: American Academy at Rome, 1977). See also Christian Habicht, </w:t>
      </w:r>
      <w:r w:rsidRPr="00453DD4">
        <w:rPr>
          <w:i/>
          <w:iCs/>
          <w:sz w:val="20"/>
          <w:szCs w:val="20"/>
        </w:rPr>
        <w:t>Gottmenschentum und griechische Städt</w:t>
      </w:r>
      <w:r w:rsidRPr="00453DD4">
        <w:rPr>
          <w:sz w:val="20"/>
          <w:szCs w:val="20"/>
        </w:rPr>
        <w:t xml:space="preserve"> (Zetemata 14; München: Beck, 1956)</w:t>
      </w:r>
      <w:r>
        <w:rPr>
          <w:sz w:val="20"/>
          <w:szCs w:val="20"/>
        </w:rPr>
        <w:t>.</w:t>
      </w:r>
    </w:p>
  </w:footnote>
  <w:footnote w:id="38">
    <w:p w14:paraId="70851062" w14:textId="2CFD050E" w:rsidR="00225DE7" w:rsidRPr="00A673AB" w:rsidRDefault="00225DE7" w:rsidP="009F7F5E">
      <w:pPr>
        <w:pStyle w:val="FootnoteText"/>
        <w:jc w:val="both"/>
        <w:rPr>
          <w:sz w:val="20"/>
          <w:szCs w:val="20"/>
        </w:rPr>
      </w:pPr>
      <w:r>
        <w:rPr>
          <w:rStyle w:val="FootnoteReference"/>
        </w:rPr>
        <w:footnoteRef/>
      </w:r>
      <w:r>
        <w:t xml:space="preserve"> </w:t>
      </w:r>
      <w:r>
        <w:rPr>
          <w:sz w:val="20"/>
          <w:szCs w:val="20"/>
        </w:rPr>
        <w:t xml:space="preserve">Cf. Callimachus’ </w:t>
      </w:r>
      <w:r w:rsidRPr="00A673AB">
        <w:rPr>
          <w:i/>
          <w:iCs/>
          <w:sz w:val="20"/>
          <w:szCs w:val="20"/>
        </w:rPr>
        <w:t>Hymn to Apollo</w:t>
      </w:r>
      <w:r>
        <w:rPr>
          <w:sz w:val="20"/>
          <w:szCs w:val="20"/>
        </w:rPr>
        <w:t>: “He who fights with the Blessed Ones would fight with my King; he who fights with my King, would fight even with Apollo” (26-27).</w:t>
      </w:r>
    </w:p>
  </w:footnote>
  <w:footnote w:id="39">
    <w:p w14:paraId="03918BF6" w14:textId="78CB1E71" w:rsidR="00225DE7" w:rsidRPr="00A673AB" w:rsidRDefault="00225DE7" w:rsidP="009F7F5E">
      <w:pPr>
        <w:pStyle w:val="FootnoteText"/>
        <w:jc w:val="both"/>
        <w:rPr>
          <w:sz w:val="20"/>
          <w:szCs w:val="20"/>
        </w:rPr>
      </w:pPr>
      <w:r>
        <w:rPr>
          <w:rStyle w:val="FootnoteReference"/>
        </w:rPr>
        <w:footnoteRef/>
      </w:r>
      <w:r>
        <w:t xml:space="preserve"> </w:t>
      </w:r>
      <w:r>
        <w:rPr>
          <w:sz w:val="20"/>
          <w:szCs w:val="20"/>
        </w:rPr>
        <w:t>Similarly, see Fears,</w:t>
      </w:r>
      <w:r w:rsidRPr="00266C42">
        <w:rPr>
          <w:i/>
          <w:iCs/>
          <w:sz w:val="20"/>
          <w:szCs w:val="20"/>
        </w:rPr>
        <w:t xml:space="preserve"> </w:t>
      </w:r>
      <w:r w:rsidRPr="009F7F5E">
        <w:rPr>
          <w:i/>
          <w:iCs/>
          <w:sz w:val="20"/>
          <w:szCs w:val="20"/>
        </w:rPr>
        <w:t>PRINCEPS A DIIS ELECTUS</w:t>
      </w:r>
      <w:r>
        <w:rPr>
          <w:iCs/>
          <w:sz w:val="20"/>
          <w:szCs w:val="20"/>
        </w:rPr>
        <w:t>,</w:t>
      </w:r>
      <w:r>
        <w:rPr>
          <w:sz w:val="20"/>
          <w:szCs w:val="20"/>
        </w:rPr>
        <w:t xml:space="preserve"> 75-76; Gordley, </w:t>
      </w:r>
      <w:r w:rsidRPr="00A673AB">
        <w:rPr>
          <w:i/>
          <w:iCs/>
          <w:sz w:val="20"/>
          <w:szCs w:val="20"/>
        </w:rPr>
        <w:t>Teaching through Song in Antiquity</w:t>
      </w:r>
      <w:r>
        <w:rPr>
          <w:sz w:val="20"/>
          <w:szCs w:val="20"/>
        </w:rPr>
        <w:t>, 116.</w:t>
      </w:r>
    </w:p>
  </w:footnote>
  <w:footnote w:id="40">
    <w:p w14:paraId="0653F4E7" w14:textId="14A60DDA" w:rsidR="00225DE7" w:rsidRPr="009F7F5E" w:rsidRDefault="00225DE7" w:rsidP="009F7F5E">
      <w:pPr>
        <w:pStyle w:val="FootnoteText"/>
        <w:jc w:val="both"/>
        <w:rPr>
          <w:sz w:val="20"/>
          <w:szCs w:val="20"/>
        </w:rPr>
      </w:pPr>
      <w:r>
        <w:rPr>
          <w:rStyle w:val="FootnoteReference"/>
        </w:rPr>
        <w:footnoteRef/>
      </w:r>
      <w:r>
        <w:t xml:space="preserve"> </w:t>
      </w:r>
      <w:r>
        <w:rPr>
          <w:sz w:val="20"/>
          <w:szCs w:val="20"/>
        </w:rPr>
        <w:t xml:space="preserve">Theocritus was most well known for his pioneer as a pastoral poet, similar to the later Vergil’s </w:t>
      </w:r>
      <w:r w:rsidRPr="009F7F5E">
        <w:rPr>
          <w:i/>
          <w:iCs/>
          <w:sz w:val="20"/>
          <w:szCs w:val="20"/>
        </w:rPr>
        <w:t>Eclogues</w:t>
      </w:r>
      <w:r>
        <w:rPr>
          <w:sz w:val="20"/>
          <w:szCs w:val="20"/>
        </w:rPr>
        <w:t xml:space="preserve">, and was a contemporary of Callimachus. For historical context of Theocritus, see Green, </w:t>
      </w:r>
      <w:r w:rsidRPr="009F7F5E">
        <w:rPr>
          <w:i/>
          <w:iCs/>
          <w:sz w:val="20"/>
          <w:szCs w:val="20"/>
        </w:rPr>
        <w:t>Alexander to Actium</w:t>
      </w:r>
      <w:r>
        <w:rPr>
          <w:sz w:val="20"/>
          <w:szCs w:val="20"/>
        </w:rPr>
        <w:t>, 233-247.</w:t>
      </w:r>
    </w:p>
  </w:footnote>
  <w:footnote w:id="41">
    <w:p w14:paraId="42727E64" w14:textId="52D7D534" w:rsidR="00225DE7" w:rsidRPr="00A673AB" w:rsidRDefault="00225DE7" w:rsidP="009F7F5E">
      <w:pPr>
        <w:pStyle w:val="FootnoteText"/>
        <w:jc w:val="both"/>
        <w:rPr>
          <w:sz w:val="20"/>
          <w:szCs w:val="20"/>
        </w:rPr>
      </w:pPr>
      <w:r>
        <w:rPr>
          <w:rStyle w:val="FootnoteReference"/>
        </w:rPr>
        <w:footnoteRef/>
      </w:r>
      <w:r>
        <w:t xml:space="preserve"> </w:t>
      </w:r>
      <w:r>
        <w:rPr>
          <w:sz w:val="20"/>
          <w:szCs w:val="20"/>
        </w:rPr>
        <w:t xml:space="preserve">For Greek text see, R. L. Cholmeley, </w:t>
      </w:r>
      <w:r w:rsidRPr="00A673AB">
        <w:rPr>
          <w:i/>
          <w:iCs/>
          <w:sz w:val="20"/>
          <w:szCs w:val="20"/>
        </w:rPr>
        <w:t>The Idylls of Theocritus</w:t>
      </w:r>
      <w:r>
        <w:rPr>
          <w:sz w:val="20"/>
          <w:szCs w:val="20"/>
        </w:rPr>
        <w:t xml:space="preserve"> (London: George Bell &amp; Sons, 1901).</w:t>
      </w:r>
    </w:p>
  </w:footnote>
  <w:footnote w:id="42">
    <w:p w14:paraId="1021ED01" w14:textId="4CD149BA" w:rsidR="00225DE7" w:rsidRPr="009919C7" w:rsidRDefault="00225DE7" w:rsidP="009919C7">
      <w:pPr>
        <w:pStyle w:val="FootnoteText"/>
        <w:jc w:val="both"/>
        <w:rPr>
          <w:sz w:val="20"/>
          <w:szCs w:val="20"/>
        </w:rPr>
      </w:pPr>
      <w:r>
        <w:rPr>
          <w:rStyle w:val="FootnoteReference"/>
        </w:rPr>
        <w:footnoteRef/>
      </w:r>
      <w:r>
        <w:t xml:space="preserve"> </w:t>
      </w:r>
      <w:r>
        <w:rPr>
          <w:sz w:val="20"/>
          <w:szCs w:val="20"/>
        </w:rPr>
        <w:t xml:space="preserve">The propaganda that legitimates kingship through descent from Zeus, military exploits, piety, and benefactions to his subjects stems from the ideology of Alexander the Great.  See Alan A. Samuel, “The Ptolemies and the Ideology of Kingship,” in </w:t>
      </w:r>
      <w:r w:rsidRPr="009919C7">
        <w:rPr>
          <w:i/>
          <w:iCs/>
          <w:sz w:val="20"/>
          <w:szCs w:val="20"/>
        </w:rPr>
        <w:t>Hellenistic History and Culture</w:t>
      </w:r>
      <w:r>
        <w:rPr>
          <w:sz w:val="20"/>
          <w:szCs w:val="20"/>
        </w:rPr>
        <w:t xml:space="preserve"> (ed. Peter Green; Hellenistic Culture and Society 9; Berkeley: University of California Press, 1993), xx-xx, here, 181.</w:t>
      </w:r>
    </w:p>
  </w:footnote>
  <w:footnote w:id="43">
    <w:p w14:paraId="7FE69408" w14:textId="3269BA8A" w:rsidR="00225DE7" w:rsidRPr="009F7F5E" w:rsidRDefault="00225DE7" w:rsidP="009F7F5E">
      <w:pPr>
        <w:pStyle w:val="FootnoteText"/>
        <w:jc w:val="both"/>
        <w:rPr>
          <w:sz w:val="20"/>
          <w:szCs w:val="20"/>
        </w:rPr>
      </w:pPr>
      <w:r w:rsidRPr="009F7F5E">
        <w:rPr>
          <w:rStyle w:val="FootnoteReference"/>
          <w:sz w:val="20"/>
          <w:szCs w:val="20"/>
        </w:rPr>
        <w:footnoteRef/>
      </w:r>
      <w:r w:rsidRPr="009F7F5E">
        <w:rPr>
          <w:sz w:val="20"/>
          <w:szCs w:val="20"/>
        </w:rPr>
        <w:t xml:space="preserve"> At Pergammum there is an inscription that refers to P. Aelius Pompeianus who is a composer and rhapsodist (in the cult of) divine Hadrian, </w:t>
      </w:r>
      <w:r w:rsidRPr="009F7F5E">
        <w:rPr>
          <w:i/>
          <w:iCs/>
          <w:sz w:val="20"/>
          <w:szCs w:val="20"/>
        </w:rPr>
        <w:t>theologos</w:t>
      </w:r>
      <w:r w:rsidRPr="009F7F5E">
        <w:rPr>
          <w:sz w:val="20"/>
          <w:szCs w:val="20"/>
        </w:rPr>
        <w:t xml:space="preserve"> of the temples in Pergamon.”</w:t>
      </w:r>
      <w:r w:rsidRPr="009F7F5E">
        <w:rPr>
          <w:rFonts w:ascii="Cambria" w:hAnsi="Cambria" w:cs="Times New Roman"/>
          <w:sz w:val="20"/>
          <w:szCs w:val="20"/>
        </w:rPr>
        <w:t xml:space="preserve"> Another inscription describing the task of the </w:t>
      </w:r>
      <w:r w:rsidRPr="009F7F5E">
        <w:rPr>
          <w:rFonts w:ascii="Gentium Plus" w:hAnsi="Gentium Plus" w:cs="Times New Roman"/>
          <w:sz w:val="20"/>
          <w:szCs w:val="20"/>
          <w:lang w:val="el-GR"/>
        </w:rPr>
        <w:t>θεολόγος</w:t>
      </w:r>
      <w:r w:rsidRPr="009F7F5E">
        <w:rPr>
          <w:rFonts w:ascii="Cambria" w:hAnsi="Cambria" w:cs="Times New Roman"/>
          <w:sz w:val="20"/>
          <w:szCs w:val="20"/>
        </w:rPr>
        <w:t xml:space="preserve"> states that in the celebration of the deceased Augustus’ birthday, the hymn-conductor must “crown with garlands the hymn-singers and the mysteries in the choir hall.</w:t>
      </w:r>
      <w:r>
        <w:rPr>
          <w:rFonts w:ascii="Cambria" w:hAnsi="Cambria" w:cs="Times New Roman"/>
          <w:sz w:val="20"/>
          <w:szCs w:val="20"/>
        </w:rPr>
        <w:t>”</w:t>
      </w:r>
      <w:r w:rsidRPr="009F7F5E">
        <w:rPr>
          <w:sz w:val="20"/>
          <w:szCs w:val="20"/>
        </w:rPr>
        <w:t xml:space="preserve"> Quoted from </w:t>
      </w:r>
      <w:r>
        <w:rPr>
          <w:sz w:val="20"/>
          <w:szCs w:val="20"/>
        </w:rPr>
        <w:t xml:space="preserve">Allen </w:t>
      </w:r>
      <w:r w:rsidRPr="009F7F5E">
        <w:rPr>
          <w:sz w:val="20"/>
          <w:szCs w:val="20"/>
        </w:rPr>
        <w:t>Brent,</w:t>
      </w:r>
      <w:r>
        <w:rPr>
          <w:sz w:val="20"/>
          <w:szCs w:val="20"/>
        </w:rPr>
        <w:t xml:space="preserve"> “John as Theologos: The Imperial Mysteries and the Apocalypse,” </w:t>
      </w:r>
      <w:r w:rsidRPr="009F7F5E">
        <w:rPr>
          <w:i/>
          <w:iCs/>
          <w:sz w:val="20"/>
          <w:szCs w:val="20"/>
        </w:rPr>
        <w:t>JSNT</w:t>
      </w:r>
      <w:r>
        <w:rPr>
          <w:sz w:val="20"/>
          <w:szCs w:val="20"/>
        </w:rPr>
        <w:t xml:space="preserve"> 75 (1999): 75-92, here,</w:t>
      </w:r>
      <w:r w:rsidRPr="009F7F5E">
        <w:rPr>
          <w:sz w:val="20"/>
          <w:szCs w:val="20"/>
        </w:rPr>
        <w:t xml:space="preserve"> p</w:t>
      </w:r>
      <w:r>
        <w:rPr>
          <w:sz w:val="20"/>
          <w:szCs w:val="20"/>
        </w:rPr>
        <w:t>. 90 and p. 96.</w:t>
      </w:r>
    </w:p>
  </w:footnote>
  <w:footnote w:id="44">
    <w:p w14:paraId="114FB606" w14:textId="28791968" w:rsidR="00225DE7" w:rsidRPr="009F7F5E" w:rsidRDefault="00225DE7" w:rsidP="00115C53">
      <w:pPr>
        <w:pStyle w:val="FootnoteText"/>
        <w:jc w:val="both"/>
        <w:rPr>
          <w:sz w:val="20"/>
          <w:szCs w:val="20"/>
        </w:rPr>
      </w:pPr>
      <w:r>
        <w:rPr>
          <w:rStyle w:val="FootnoteReference"/>
        </w:rPr>
        <w:footnoteRef/>
      </w:r>
      <w:r>
        <w:t xml:space="preserve"> </w:t>
      </w:r>
      <w:r w:rsidRPr="00C11FB3">
        <w:rPr>
          <w:rFonts w:ascii="Cambria" w:hAnsi="Cambria" w:cs="Times New Roman"/>
          <w:sz w:val="20"/>
          <w:szCs w:val="20"/>
        </w:rPr>
        <w:t>Encomia</w:t>
      </w:r>
      <w:r>
        <w:rPr>
          <w:rFonts w:ascii="Cambria" w:hAnsi="Cambria" w:cs="Times New Roman"/>
          <w:sz w:val="20"/>
          <w:szCs w:val="20"/>
        </w:rPr>
        <w:t xml:space="preserve">stic competitions for kings </w:t>
      </w:r>
      <w:r w:rsidRPr="00C11FB3">
        <w:rPr>
          <w:rFonts w:ascii="Cambria" w:hAnsi="Cambria" w:cs="Times New Roman"/>
          <w:sz w:val="20"/>
          <w:szCs w:val="20"/>
        </w:rPr>
        <w:t>were frequent and functioned to publicize the honors of the ruler.</w:t>
      </w:r>
      <w:r>
        <w:rPr>
          <w:rFonts w:ascii="Cambria" w:hAnsi="Cambria" w:cs="Times New Roman"/>
          <w:sz w:val="20"/>
          <w:szCs w:val="20"/>
        </w:rPr>
        <w:t xml:space="preserve">  See </w:t>
      </w:r>
      <w:r w:rsidRPr="00C11FB3">
        <w:rPr>
          <w:sz w:val="20"/>
          <w:szCs w:val="20"/>
        </w:rPr>
        <w:t>Price, “Gods and Emperors,” 95; Brent, “John as Theologos,” 91-92.</w:t>
      </w:r>
      <w:r>
        <w:rPr>
          <w:sz w:val="20"/>
          <w:szCs w:val="20"/>
        </w:rPr>
        <w:t xml:space="preserve"> Collins, “The Psalms and the Origin of Christology,” 113-123.</w:t>
      </w:r>
    </w:p>
  </w:footnote>
  <w:footnote w:id="45">
    <w:p w14:paraId="72E327CA" w14:textId="2344BB1A" w:rsidR="00225DE7" w:rsidRPr="009F7F5E" w:rsidRDefault="00225DE7" w:rsidP="00115C53">
      <w:pPr>
        <w:pStyle w:val="FootnoteText"/>
        <w:jc w:val="both"/>
        <w:rPr>
          <w:sz w:val="20"/>
          <w:szCs w:val="20"/>
        </w:rPr>
      </w:pPr>
      <w:r>
        <w:rPr>
          <w:rStyle w:val="FootnoteReference"/>
        </w:rPr>
        <w:footnoteRef/>
      </w:r>
      <w:r>
        <w:t xml:space="preserve"> </w:t>
      </w:r>
      <w:r>
        <w:rPr>
          <w:sz w:val="20"/>
          <w:szCs w:val="20"/>
        </w:rPr>
        <w:t xml:space="preserve">See R. Cognat et al., </w:t>
      </w:r>
      <w:r w:rsidRPr="009F7F5E">
        <w:rPr>
          <w:i/>
          <w:iCs/>
          <w:sz w:val="20"/>
          <w:szCs w:val="20"/>
        </w:rPr>
        <w:t>Inscriptiones Graecae ad Res Romanas Pertinentes</w:t>
      </w:r>
      <w:r>
        <w:rPr>
          <w:sz w:val="20"/>
          <w:szCs w:val="20"/>
        </w:rPr>
        <w:t>. Quoted from Price, “Rituals and Power,” 59.</w:t>
      </w:r>
    </w:p>
  </w:footnote>
  <w:footnote w:id="46">
    <w:p w14:paraId="40BC940C" w14:textId="10213F79" w:rsidR="00225DE7" w:rsidRPr="009F7F5E" w:rsidRDefault="00225DE7" w:rsidP="00326AF8">
      <w:pPr>
        <w:pStyle w:val="FootnoteText"/>
        <w:jc w:val="both"/>
        <w:rPr>
          <w:sz w:val="20"/>
          <w:szCs w:val="20"/>
        </w:rPr>
      </w:pPr>
      <w:r>
        <w:rPr>
          <w:rStyle w:val="FootnoteReference"/>
        </w:rPr>
        <w:footnoteRef/>
      </w:r>
      <w:r>
        <w:t xml:space="preserve"> </w:t>
      </w:r>
      <w:r>
        <w:rPr>
          <w:sz w:val="20"/>
          <w:szCs w:val="20"/>
        </w:rPr>
        <w:t>Price, “Gods and Emperors,” 95 n. 96.</w:t>
      </w:r>
    </w:p>
  </w:footnote>
  <w:footnote w:id="47">
    <w:p w14:paraId="178C435B" w14:textId="098B55B7" w:rsidR="00225DE7" w:rsidRPr="009F7F5E" w:rsidRDefault="00225DE7" w:rsidP="00326AF8">
      <w:pPr>
        <w:pStyle w:val="FootnoteText"/>
        <w:jc w:val="both"/>
        <w:rPr>
          <w:sz w:val="20"/>
          <w:szCs w:val="20"/>
        </w:rPr>
      </w:pPr>
      <w:r>
        <w:rPr>
          <w:rStyle w:val="FootnoteReference"/>
        </w:rPr>
        <w:footnoteRef/>
      </w:r>
      <w:r>
        <w:t xml:space="preserve"> </w:t>
      </w:r>
      <w:r>
        <w:rPr>
          <w:sz w:val="20"/>
          <w:szCs w:val="20"/>
        </w:rPr>
        <w:t>See Aune,</w:t>
      </w:r>
      <w:r w:rsidRPr="009F7F5E">
        <w:rPr>
          <w:sz w:val="20"/>
          <w:szCs w:val="20"/>
        </w:rPr>
        <w:t xml:space="preserve"> </w:t>
      </w:r>
      <w:r>
        <w:rPr>
          <w:sz w:val="20"/>
          <w:szCs w:val="20"/>
        </w:rPr>
        <w:t>“The Influence of Roman Imperial Court Ceremonial on the Apocalypse of John,” 16.</w:t>
      </w:r>
    </w:p>
  </w:footnote>
  <w:footnote w:id="48">
    <w:p w14:paraId="686DE42C" w14:textId="3CF62394" w:rsidR="00225DE7" w:rsidRPr="00326AF8" w:rsidRDefault="00225DE7" w:rsidP="00326AF8">
      <w:pPr>
        <w:pStyle w:val="FootnoteText"/>
        <w:jc w:val="both"/>
        <w:rPr>
          <w:sz w:val="20"/>
          <w:szCs w:val="20"/>
        </w:rPr>
      </w:pPr>
      <w:r>
        <w:rPr>
          <w:rStyle w:val="FootnoteReference"/>
        </w:rPr>
        <w:footnoteRef/>
      </w:r>
      <w:r>
        <w:t xml:space="preserve"> </w:t>
      </w:r>
      <w:r>
        <w:rPr>
          <w:sz w:val="20"/>
          <w:szCs w:val="20"/>
        </w:rPr>
        <w:t xml:space="preserve">Quoted from Steven J. Friesen, </w:t>
      </w:r>
      <w:r>
        <w:rPr>
          <w:i/>
          <w:iCs/>
          <w:sz w:val="20"/>
          <w:szCs w:val="20"/>
        </w:rPr>
        <w:t>Imperial</w:t>
      </w:r>
      <w:r w:rsidRPr="00326AF8">
        <w:rPr>
          <w:i/>
          <w:iCs/>
          <w:sz w:val="20"/>
          <w:szCs w:val="20"/>
        </w:rPr>
        <w:t xml:space="preserve"> Cults and the Apocalypse of John</w:t>
      </w:r>
      <w:r>
        <w:rPr>
          <w:iCs/>
          <w:sz w:val="20"/>
          <w:szCs w:val="20"/>
        </w:rPr>
        <w:t>,</w:t>
      </w:r>
      <w:r>
        <w:rPr>
          <w:i/>
          <w:iCs/>
          <w:sz w:val="20"/>
          <w:szCs w:val="20"/>
        </w:rPr>
        <w:t xml:space="preserve"> </w:t>
      </w:r>
      <w:r>
        <w:rPr>
          <w:sz w:val="20"/>
          <w:szCs w:val="20"/>
        </w:rPr>
        <w:t>105.</w:t>
      </w:r>
    </w:p>
  </w:footnote>
  <w:footnote w:id="49">
    <w:p w14:paraId="04FAA022" w14:textId="3117A9BD" w:rsidR="00225DE7" w:rsidRPr="009F7F5E" w:rsidRDefault="00225DE7">
      <w:pPr>
        <w:pStyle w:val="FootnoteText"/>
        <w:rPr>
          <w:sz w:val="20"/>
          <w:szCs w:val="20"/>
        </w:rPr>
      </w:pPr>
      <w:r>
        <w:rPr>
          <w:rStyle w:val="FootnoteReference"/>
        </w:rPr>
        <w:footnoteRef/>
      </w:r>
      <w:r>
        <w:t xml:space="preserve"> </w:t>
      </w:r>
      <w:r>
        <w:rPr>
          <w:sz w:val="20"/>
          <w:szCs w:val="20"/>
        </w:rPr>
        <w:t>Price, “Gods and Emperors, 95.</w:t>
      </w:r>
    </w:p>
  </w:footnote>
  <w:footnote w:id="50">
    <w:p w14:paraId="3818C23D" w14:textId="0A58FB53" w:rsidR="00225DE7" w:rsidRPr="009F7F5E" w:rsidRDefault="00225DE7">
      <w:pPr>
        <w:pStyle w:val="FootnoteText"/>
        <w:rPr>
          <w:sz w:val="20"/>
          <w:szCs w:val="20"/>
        </w:rPr>
      </w:pPr>
      <w:r>
        <w:rPr>
          <w:rStyle w:val="FootnoteReference"/>
        </w:rPr>
        <w:footnoteRef/>
      </w:r>
      <w:r>
        <w:t xml:space="preserve"> </w:t>
      </w:r>
      <w:r w:rsidRPr="009F7F5E">
        <w:rPr>
          <w:i/>
          <w:iCs/>
          <w:sz w:val="20"/>
          <w:szCs w:val="20"/>
        </w:rPr>
        <w:t>Documents Illustrating the Reigns of Augustus and Tiberius</w:t>
      </w:r>
      <w:r>
        <w:rPr>
          <w:sz w:val="20"/>
          <w:szCs w:val="20"/>
        </w:rPr>
        <w:t>, collected by Victor Ehrenberg and A. H. M. Jones (2</w:t>
      </w:r>
      <w:r w:rsidRPr="009F7F5E">
        <w:rPr>
          <w:sz w:val="20"/>
          <w:szCs w:val="20"/>
          <w:vertAlign w:val="superscript"/>
        </w:rPr>
        <w:t>nd</w:t>
      </w:r>
      <w:r>
        <w:rPr>
          <w:sz w:val="20"/>
          <w:szCs w:val="20"/>
        </w:rPr>
        <w:t xml:space="preserve"> edition; Oxford: Clarendon Press, 1955), 98a, lines 4-17.</w:t>
      </w:r>
    </w:p>
  </w:footnote>
  <w:footnote w:id="51">
    <w:p w14:paraId="2384CCED" w14:textId="05E89483" w:rsidR="00225DE7" w:rsidRPr="00BF5B72" w:rsidRDefault="00225DE7" w:rsidP="00BF5B72">
      <w:pPr>
        <w:pStyle w:val="FootnoteText"/>
        <w:jc w:val="both"/>
        <w:rPr>
          <w:sz w:val="20"/>
          <w:szCs w:val="20"/>
        </w:rPr>
      </w:pPr>
      <w:r>
        <w:rPr>
          <w:rStyle w:val="FootnoteReference"/>
        </w:rPr>
        <w:footnoteRef/>
      </w:r>
      <w:r>
        <w:t xml:space="preserve"> </w:t>
      </w:r>
      <w:r>
        <w:rPr>
          <w:sz w:val="20"/>
          <w:szCs w:val="20"/>
        </w:rPr>
        <w:t xml:space="preserve">On the religious strategy of depicting the emperors as creators of a new world order, see Friesen, </w:t>
      </w:r>
      <w:r w:rsidRPr="00BF5B72">
        <w:rPr>
          <w:i/>
          <w:iCs/>
          <w:sz w:val="20"/>
          <w:szCs w:val="20"/>
        </w:rPr>
        <w:t>Imperial Cults and the Apocalypse of John</w:t>
      </w:r>
      <w:r>
        <w:rPr>
          <w:sz w:val="20"/>
          <w:szCs w:val="20"/>
        </w:rPr>
        <w:t>, 122-142.</w:t>
      </w:r>
    </w:p>
  </w:footnote>
  <w:footnote w:id="52">
    <w:p w14:paraId="7BBE6A81" w14:textId="561F34D7" w:rsidR="00225DE7" w:rsidRPr="009F7F5E" w:rsidRDefault="00225DE7">
      <w:pPr>
        <w:pStyle w:val="FootnoteText"/>
        <w:rPr>
          <w:sz w:val="20"/>
          <w:szCs w:val="20"/>
        </w:rPr>
      </w:pPr>
      <w:r>
        <w:rPr>
          <w:rStyle w:val="FootnoteReference"/>
        </w:rPr>
        <w:footnoteRef/>
      </w:r>
      <w:r>
        <w:t xml:space="preserve"> </w:t>
      </w:r>
      <w:r w:rsidRPr="009F7F5E">
        <w:rPr>
          <w:i/>
          <w:iCs/>
          <w:sz w:val="20"/>
          <w:szCs w:val="20"/>
        </w:rPr>
        <w:t>Documents Illustrating the Reigns of Augustus and Tiberius</w:t>
      </w:r>
      <w:r>
        <w:rPr>
          <w:sz w:val="20"/>
          <w:szCs w:val="20"/>
        </w:rPr>
        <w:t>, 98b, lines 35-36.</w:t>
      </w:r>
    </w:p>
  </w:footnote>
  <w:footnote w:id="53">
    <w:p w14:paraId="1A9832B4" w14:textId="377C3F62" w:rsidR="00225DE7" w:rsidRPr="009F7F5E" w:rsidRDefault="00225DE7">
      <w:pPr>
        <w:pStyle w:val="FootnoteText"/>
        <w:rPr>
          <w:sz w:val="20"/>
          <w:szCs w:val="20"/>
        </w:rPr>
      </w:pPr>
      <w:r>
        <w:rPr>
          <w:rStyle w:val="FootnoteReference"/>
        </w:rPr>
        <w:footnoteRef/>
      </w:r>
      <w:r>
        <w:t xml:space="preserve"> </w:t>
      </w:r>
      <w:r w:rsidRPr="009F7F5E">
        <w:rPr>
          <w:i/>
          <w:iCs/>
          <w:sz w:val="20"/>
          <w:szCs w:val="20"/>
        </w:rPr>
        <w:t>Documents Illustrating the Reigns of Augustus and Tiberius</w:t>
      </w:r>
      <w:r>
        <w:rPr>
          <w:sz w:val="20"/>
          <w:szCs w:val="20"/>
        </w:rPr>
        <w:t>, 98b, lines 39-41.</w:t>
      </w:r>
    </w:p>
  </w:footnote>
  <w:footnote w:id="54">
    <w:p w14:paraId="1ADF0C44" w14:textId="64FD9CDB" w:rsidR="00225DE7" w:rsidRPr="009F7F5E" w:rsidRDefault="00225DE7">
      <w:pPr>
        <w:pStyle w:val="FootnoteText"/>
        <w:rPr>
          <w:sz w:val="20"/>
          <w:szCs w:val="20"/>
        </w:rPr>
      </w:pPr>
      <w:r>
        <w:rPr>
          <w:rStyle w:val="FootnoteReference"/>
        </w:rPr>
        <w:footnoteRef/>
      </w:r>
      <w:r>
        <w:t xml:space="preserve"> </w:t>
      </w:r>
      <w:r>
        <w:rPr>
          <w:sz w:val="20"/>
          <w:szCs w:val="20"/>
        </w:rPr>
        <w:t xml:space="preserve">W. Dittenberger (editor), </w:t>
      </w:r>
      <w:r w:rsidRPr="009F7F5E">
        <w:rPr>
          <w:i/>
          <w:iCs/>
          <w:sz w:val="20"/>
          <w:szCs w:val="20"/>
        </w:rPr>
        <w:t>Sylloge Inscriptionum Graecarum</w:t>
      </w:r>
      <w:r>
        <w:rPr>
          <w:sz w:val="20"/>
          <w:szCs w:val="20"/>
        </w:rPr>
        <w:t>, 814, lines 30-35.</w:t>
      </w:r>
    </w:p>
  </w:footnote>
  <w:footnote w:id="55">
    <w:p w14:paraId="617557F4" w14:textId="600FF5D2" w:rsidR="00225DE7" w:rsidRPr="009F7F5E" w:rsidRDefault="00225DE7">
      <w:pPr>
        <w:pStyle w:val="FootnoteText"/>
        <w:rPr>
          <w:sz w:val="20"/>
          <w:szCs w:val="20"/>
        </w:rPr>
      </w:pPr>
      <w:r>
        <w:rPr>
          <w:rStyle w:val="FootnoteReference"/>
        </w:rPr>
        <w:footnoteRef/>
      </w:r>
      <w:r>
        <w:t xml:space="preserve"> </w:t>
      </w:r>
      <w:r>
        <w:rPr>
          <w:sz w:val="20"/>
          <w:szCs w:val="20"/>
        </w:rPr>
        <w:t xml:space="preserve">On this, see James R. Harrison, </w:t>
      </w:r>
      <w:r w:rsidRPr="00115C53">
        <w:rPr>
          <w:i/>
          <w:iCs/>
          <w:sz w:val="20"/>
          <w:szCs w:val="20"/>
        </w:rPr>
        <w:t>Paul and the Imperial Authorities at Thessalonica and Rome</w:t>
      </w:r>
      <w:r>
        <w:rPr>
          <w:i/>
          <w:iCs/>
          <w:sz w:val="20"/>
          <w:szCs w:val="20"/>
        </w:rPr>
        <w:t>: A Study in the Conflict of Ideology</w:t>
      </w:r>
      <w:r>
        <w:rPr>
          <w:sz w:val="20"/>
          <w:szCs w:val="20"/>
        </w:rPr>
        <w:t xml:space="preserve"> (WUNT 2.273; Tübingen: Mohr-Siebeck, 2011), 63-65.</w:t>
      </w:r>
    </w:p>
  </w:footnote>
  <w:footnote w:id="56">
    <w:p w14:paraId="39771AB7" w14:textId="77777777" w:rsidR="00225DE7" w:rsidRPr="009F7F5E" w:rsidRDefault="00225DE7" w:rsidP="00115C53">
      <w:pPr>
        <w:pStyle w:val="FootnoteText"/>
        <w:jc w:val="both"/>
        <w:rPr>
          <w:sz w:val="20"/>
          <w:szCs w:val="20"/>
        </w:rPr>
      </w:pPr>
      <w:r>
        <w:rPr>
          <w:rStyle w:val="FootnoteReference"/>
        </w:rPr>
        <w:footnoteRef/>
      </w:r>
      <w:r>
        <w:t xml:space="preserve"> </w:t>
      </w:r>
      <w:r>
        <w:rPr>
          <w:sz w:val="20"/>
          <w:szCs w:val="20"/>
        </w:rPr>
        <w:t xml:space="preserve">I am using Sidney Alexander, </w:t>
      </w:r>
      <w:r w:rsidRPr="009F7F5E">
        <w:rPr>
          <w:i/>
          <w:iCs/>
          <w:sz w:val="20"/>
          <w:szCs w:val="20"/>
        </w:rPr>
        <w:t>The Complete Odes and Satires of Horace</w:t>
      </w:r>
      <w:r>
        <w:rPr>
          <w:sz w:val="20"/>
          <w:szCs w:val="20"/>
        </w:rPr>
        <w:t xml:space="preserve"> (Princeton, NJ: Princeton University Press, 1990).</w:t>
      </w:r>
    </w:p>
  </w:footnote>
  <w:footnote w:id="57">
    <w:p w14:paraId="483B5066" w14:textId="612A5EAB" w:rsidR="00225DE7" w:rsidRPr="00115C53" w:rsidRDefault="00225DE7" w:rsidP="00B35F00">
      <w:pPr>
        <w:pStyle w:val="FootnoteText"/>
        <w:jc w:val="both"/>
        <w:rPr>
          <w:sz w:val="20"/>
          <w:szCs w:val="20"/>
        </w:rPr>
      </w:pPr>
      <w:r>
        <w:rPr>
          <w:rStyle w:val="FootnoteReference"/>
        </w:rPr>
        <w:footnoteRef/>
      </w:r>
      <w:r>
        <w:t xml:space="preserve"> </w:t>
      </w:r>
      <w:r>
        <w:rPr>
          <w:sz w:val="20"/>
          <w:szCs w:val="20"/>
        </w:rPr>
        <w:t xml:space="preserve">See Thomas Habinek, </w:t>
      </w:r>
      <w:r w:rsidRPr="00115C53">
        <w:rPr>
          <w:i/>
          <w:iCs/>
          <w:sz w:val="20"/>
          <w:szCs w:val="20"/>
        </w:rPr>
        <w:t>The World of Roman Song: From Ritualized Speech to Social Order</w:t>
      </w:r>
      <w:r>
        <w:rPr>
          <w:sz w:val="20"/>
          <w:szCs w:val="20"/>
        </w:rPr>
        <w:t xml:space="preserve"> (Baltimore: The Johns Hopkins University Press, 2005), 152-157; Galinsky, </w:t>
      </w:r>
      <w:r>
        <w:rPr>
          <w:i/>
          <w:iCs/>
          <w:sz w:val="20"/>
          <w:szCs w:val="20"/>
        </w:rPr>
        <w:t>Augustan Culture</w:t>
      </w:r>
      <w:r>
        <w:rPr>
          <w:iCs/>
          <w:sz w:val="20"/>
          <w:szCs w:val="20"/>
        </w:rPr>
        <w:t>,</w:t>
      </w:r>
      <w:r w:rsidRPr="005E332C">
        <w:rPr>
          <w:i/>
          <w:iCs/>
          <w:sz w:val="20"/>
          <w:szCs w:val="20"/>
        </w:rPr>
        <w:t xml:space="preserve"> </w:t>
      </w:r>
      <w:r>
        <w:rPr>
          <w:sz w:val="20"/>
          <w:szCs w:val="20"/>
        </w:rPr>
        <w:t>102-105.</w:t>
      </w:r>
    </w:p>
  </w:footnote>
  <w:footnote w:id="58">
    <w:p w14:paraId="660AB2EC" w14:textId="6C2CE777" w:rsidR="00225DE7" w:rsidRPr="00115C53" w:rsidRDefault="00225DE7" w:rsidP="00115C53">
      <w:pPr>
        <w:pStyle w:val="FootnoteText"/>
        <w:jc w:val="both"/>
        <w:rPr>
          <w:sz w:val="20"/>
          <w:szCs w:val="20"/>
        </w:rPr>
      </w:pPr>
      <w:r>
        <w:rPr>
          <w:rStyle w:val="FootnoteReference"/>
        </w:rPr>
        <w:footnoteRef/>
      </w:r>
      <w:r>
        <w:t xml:space="preserve"> </w:t>
      </w:r>
      <w:r>
        <w:rPr>
          <w:sz w:val="20"/>
          <w:szCs w:val="20"/>
        </w:rPr>
        <w:t xml:space="preserve">On this as part of Augustus’ propaganda strategy, see Zanker, </w:t>
      </w:r>
      <w:r w:rsidRPr="00115C53">
        <w:rPr>
          <w:i/>
          <w:iCs/>
          <w:sz w:val="20"/>
          <w:szCs w:val="20"/>
        </w:rPr>
        <w:t>The Power of Images in the Age of Augustus</w:t>
      </w:r>
      <w:r>
        <w:rPr>
          <w:sz w:val="20"/>
          <w:szCs w:val="20"/>
        </w:rPr>
        <w:t>, 172-183.</w:t>
      </w:r>
    </w:p>
  </w:footnote>
  <w:footnote w:id="59">
    <w:p w14:paraId="42EE9CED" w14:textId="72B414AA" w:rsidR="00225DE7" w:rsidRPr="00115C53" w:rsidRDefault="00225DE7" w:rsidP="00115C53">
      <w:pPr>
        <w:pStyle w:val="FootnoteText"/>
        <w:jc w:val="both"/>
        <w:rPr>
          <w:sz w:val="20"/>
          <w:szCs w:val="20"/>
        </w:rPr>
      </w:pPr>
      <w:r>
        <w:rPr>
          <w:rStyle w:val="FootnoteReference"/>
        </w:rPr>
        <w:footnoteRef/>
      </w:r>
      <w:r>
        <w:t xml:space="preserve"> </w:t>
      </w:r>
      <w:r>
        <w:rPr>
          <w:sz w:val="20"/>
          <w:szCs w:val="20"/>
        </w:rPr>
        <w:t xml:space="preserve">On the association between Augustus and the gods, see Zanker, </w:t>
      </w:r>
      <w:r w:rsidRPr="00115C53">
        <w:rPr>
          <w:i/>
          <w:iCs/>
          <w:sz w:val="20"/>
          <w:szCs w:val="20"/>
        </w:rPr>
        <w:t>The Power of Images in the Age of Augustus</w:t>
      </w:r>
      <w:r>
        <w:rPr>
          <w:sz w:val="20"/>
          <w:szCs w:val="20"/>
        </w:rPr>
        <w:t xml:space="preserve">, 230-238. In the odes of Horace, see Gordley, </w:t>
      </w:r>
      <w:r w:rsidRPr="00B35F00">
        <w:rPr>
          <w:i/>
          <w:iCs/>
          <w:sz w:val="20"/>
          <w:szCs w:val="20"/>
        </w:rPr>
        <w:t>Teaching through Song in Antiquity</w:t>
      </w:r>
      <w:r>
        <w:rPr>
          <w:sz w:val="20"/>
          <w:szCs w:val="20"/>
        </w:rPr>
        <w:t>, 126-133.</w:t>
      </w:r>
    </w:p>
  </w:footnote>
  <w:footnote w:id="60">
    <w:p w14:paraId="53586B91" w14:textId="1ADE0F44" w:rsidR="00225DE7" w:rsidRPr="00115C53" w:rsidRDefault="00225DE7" w:rsidP="00F20462">
      <w:pPr>
        <w:pStyle w:val="FootnoteText"/>
        <w:jc w:val="both"/>
        <w:rPr>
          <w:sz w:val="20"/>
          <w:szCs w:val="20"/>
        </w:rPr>
      </w:pPr>
      <w:r>
        <w:rPr>
          <w:rStyle w:val="FootnoteReference"/>
        </w:rPr>
        <w:footnoteRef/>
      </w:r>
      <w:r>
        <w:t xml:space="preserve"> </w:t>
      </w:r>
      <w:r>
        <w:rPr>
          <w:sz w:val="20"/>
          <w:szCs w:val="20"/>
        </w:rPr>
        <w:t xml:space="preserve">For text and translation, see Betty Radice, </w:t>
      </w:r>
      <w:r w:rsidRPr="00115C53">
        <w:rPr>
          <w:i/>
          <w:iCs/>
          <w:sz w:val="20"/>
          <w:szCs w:val="20"/>
        </w:rPr>
        <w:t>Pliny: Letters and Panegyricus</w:t>
      </w:r>
      <w:r>
        <w:rPr>
          <w:sz w:val="20"/>
          <w:szCs w:val="20"/>
        </w:rPr>
        <w:t xml:space="preserve"> (Cambridge, MA: Harvard University Press, 1969).</w:t>
      </w:r>
      <w:r w:rsidRPr="00F20462">
        <w:rPr>
          <w:sz w:val="20"/>
          <w:szCs w:val="20"/>
        </w:rPr>
        <w:t xml:space="preserve"> </w:t>
      </w:r>
      <w:r>
        <w:rPr>
          <w:sz w:val="20"/>
          <w:szCs w:val="20"/>
        </w:rPr>
        <w:t xml:space="preserve">See Habinek, </w:t>
      </w:r>
      <w:r w:rsidRPr="00115C53">
        <w:rPr>
          <w:i/>
          <w:iCs/>
          <w:sz w:val="20"/>
          <w:szCs w:val="20"/>
        </w:rPr>
        <w:t>The World of Roman Son</w:t>
      </w:r>
      <w:r>
        <w:rPr>
          <w:i/>
          <w:iCs/>
          <w:sz w:val="20"/>
          <w:szCs w:val="20"/>
        </w:rPr>
        <w:t>g</w:t>
      </w:r>
      <w:r>
        <w:rPr>
          <w:iCs/>
          <w:sz w:val="20"/>
          <w:szCs w:val="20"/>
        </w:rPr>
        <w:t>,</w:t>
      </w:r>
      <w:r>
        <w:rPr>
          <w:i/>
          <w:iCs/>
          <w:sz w:val="20"/>
          <w:szCs w:val="20"/>
        </w:rPr>
        <w:t xml:space="preserve"> </w:t>
      </w:r>
      <w:r>
        <w:rPr>
          <w:sz w:val="20"/>
          <w:szCs w:val="20"/>
        </w:rPr>
        <w:t>214-215.</w:t>
      </w:r>
      <w:r>
        <w:t xml:space="preserve"> </w:t>
      </w:r>
      <w:r>
        <w:rPr>
          <w:sz w:val="20"/>
          <w:szCs w:val="20"/>
        </w:rPr>
        <w:t xml:space="preserve">For more helpful detail on the kingship ideology of Pliny’s </w:t>
      </w:r>
      <w:r w:rsidRPr="00115C53">
        <w:rPr>
          <w:i/>
          <w:iCs/>
          <w:sz w:val="20"/>
          <w:szCs w:val="20"/>
        </w:rPr>
        <w:t>Panegyricus</w:t>
      </w:r>
      <w:r>
        <w:rPr>
          <w:sz w:val="20"/>
          <w:szCs w:val="20"/>
        </w:rPr>
        <w:t xml:space="preserve">, see Smith, </w:t>
      </w:r>
      <w:r w:rsidRPr="00115C53">
        <w:rPr>
          <w:i/>
          <w:iCs/>
          <w:sz w:val="20"/>
          <w:szCs w:val="20"/>
        </w:rPr>
        <w:t>Christ the King</w:t>
      </w:r>
      <w:r>
        <w:rPr>
          <w:sz w:val="20"/>
          <w:szCs w:val="20"/>
        </w:rPr>
        <w:t xml:space="preserve">, 81-83; Gordley, </w:t>
      </w:r>
      <w:r w:rsidRPr="00B35F00">
        <w:rPr>
          <w:i/>
          <w:iCs/>
          <w:sz w:val="20"/>
          <w:szCs w:val="20"/>
        </w:rPr>
        <w:t>Teaching through Song in Antiquity</w:t>
      </w:r>
      <w:r>
        <w:rPr>
          <w:sz w:val="20"/>
          <w:szCs w:val="20"/>
        </w:rPr>
        <w:t xml:space="preserve">, 139-145; Lester K. Born, “The Perfect Prince According to the Latin Panegyrists,” </w:t>
      </w:r>
      <w:r w:rsidRPr="009919C7">
        <w:rPr>
          <w:i/>
          <w:iCs/>
          <w:sz w:val="20"/>
          <w:szCs w:val="20"/>
        </w:rPr>
        <w:t>American Journal of Philology</w:t>
      </w:r>
      <w:r>
        <w:rPr>
          <w:sz w:val="20"/>
          <w:szCs w:val="20"/>
        </w:rPr>
        <w:t xml:space="preserve"> 55 (1934): 20-35.</w:t>
      </w:r>
    </w:p>
  </w:footnote>
  <w:footnote w:id="61">
    <w:p w14:paraId="71F51BBF" w14:textId="25C9693F" w:rsidR="00225DE7" w:rsidRPr="005E332C" w:rsidRDefault="00225DE7">
      <w:pPr>
        <w:pStyle w:val="FootnoteText"/>
        <w:rPr>
          <w:sz w:val="20"/>
          <w:szCs w:val="20"/>
        </w:rPr>
      </w:pPr>
      <w:r>
        <w:rPr>
          <w:rStyle w:val="FootnoteReference"/>
        </w:rPr>
        <w:footnoteRef/>
      </w:r>
      <w:r>
        <w:t xml:space="preserve"> </w:t>
      </w:r>
      <w:r>
        <w:rPr>
          <w:sz w:val="20"/>
          <w:szCs w:val="20"/>
        </w:rPr>
        <w:t xml:space="preserve">Galinsky, </w:t>
      </w:r>
      <w:r w:rsidRPr="005E332C">
        <w:rPr>
          <w:i/>
          <w:iCs/>
          <w:sz w:val="20"/>
          <w:szCs w:val="20"/>
        </w:rPr>
        <w:t>Augustan Culture</w:t>
      </w:r>
      <w:r>
        <w:rPr>
          <w:sz w:val="20"/>
          <w:szCs w:val="20"/>
        </w:rPr>
        <w:t>, 324.</w:t>
      </w:r>
    </w:p>
  </w:footnote>
  <w:footnote w:id="62">
    <w:p w14:paraId="715E70B0" w14:textId="7A5DE943" w:rsidR="00225DE7" w:rsidRPr="00B35F00" w:rsidRDefault="00225DE7" w:rsidP="00B35F00">
      <w:pPr>
        <w:pStyle w:val="FootnoteText"/>
        <w:jc w:val="both"/>
        <w:rPr>
          <w:sz w:val="20"/>
          <w:szCs w:val="20"/>
        </w:rPr>
      </w:pPr>
      <w:r>
        <w:rPr>
          <w:rStyle w:val="FootnoteReference"/>
        </w:rPr>
        <w:footnoteRef/>
      </w:r>
      <w:r>
        <w:t xml:space="preserve"> </w:t>
      </w:r>
      <w:r>
        <w:rPr>
          <w:sz w:val="20"/>
          <w:szCs w:val="20"/>
        </w:rPr>
        <w:t xml:space="preserve">Many of the Psalms likely began as royal oracles and petitions on behalf of the king.  See Scott R. A. Starbuck, </w:t>
      </w:r>
      <w:r w:rsidRPr="00B35F00">
        <w:rPr>
          <w:i/>
          <w:iCs/>
          <w:sz w:val="20"/>
          <w:szCs w:val="20"/>
        </w:rPr>
        <w:t xml:space="preserve">Court Oracles in the Psalms: The So-Called Royal Psalms in their </w:t>
      </w:r>
      <w:r>
        <w:rPr>
          <w:i/>
          <w:iCs/>
          <w:sz w:val="20"/>
          <w:szCs w:val="20"/>
        </w:rPr>
        <w:t>Ancient</w:t>
      </w:r>
      <w:r w:rsidRPr="00B35F00">
        <w:rPr>
          <w:i/>
          <w:iCs/>
          <w:sz w:val="20"/>
          <w:szCs w:val="20"/>
        </w:rPr>
        <w:t xml:space="preserve"> Near Eastern Context</w:t>
      </w:r>
      <w:r>
        <w:rPr>
          <w:sz w:val="20"/>
          <w:szCs w:val="20"/>
        </w:rPr>
        <w:t xml:space="preserve"> (SBLDS 172; Atlanta: Scholars Press, 1999).</w:t>
      </w:r>
    </w:p>
  </w:footnote>
  <w:footnote w:id="63">
    <w:p w14:paraId="1977AA47" w14:textId="310E9330" w:rsidR="00225DE7" w:rsidRPr="00374296" w:rsidRDefault="00225DE7" w:rsidP="00D55F25">
      <w:pPr>
        <w:pStyle w:val="FootnoteText"/>
        <w:jc w:val="both"/>
        <w:rPr>
          <w:sz w:val="20"/>
          <w:szCs w:val="20"/>
        </w:rPr>
      </w:pPr>
      <w:r>
        <w:rPr>
          <w:rStyle w:val="FootnoteReference"/>
        </w:rPr>
        <w:footnoteRef/>
      </w:r>
      <w:r>
        <w:t xml:space="preserve"> </w:t>
      </w:r>
      <w:r>
        <w:rPr>
          <w:sz w:val="20"/>
          <w:szCs w:val="20"/>
        </w:rPr>
        <w:t xml:space="preserve">Erhard S. Gerstenberger refers to Psalm 2 as a messianic hymn.  See his </w:t>
      </w:r>
      <w:r w:rsidRPr="00374296">
        <w:rPr>
          <w:i/>
          <w:iCs/>
          <w:sz w:val="20"/>
          <w:szCs w:val="20"/>
        </w:rPr>
        <w:t>Psalms: Part One: With an Introduction to Cultic Poetry</w:t>
      </w:r>
      <w:r>
        <w:rPr>
          <w:sz w:val="20"/>
          <w:szCs w:val="20"/>
        </w:rPr>
        <w:t xml:space="preserve"> (Grand Rapids: Eerdmans, 1988), 48.</w:t>
      </w:r>
    </w:p>
  </w:footnote>
  <w:footnote w:id="64">
    <w:p w14:paraId="51A0FF12" w14:textId="64960689" w:rsidR="00225DE7" w:rsidRPr="00260097" w:rsidRDefault="00225DE7" w:rsidP="00260097">
      <w:pPr>
        <w:pStyle w:val="FootnoteText"/>
        <w:jc w:val="both"/>
        <w:rPr>
          <w:sz w:val="20"/>
          <w:szCs w:val="20"/>
        </w:rPr>
      </w:pPr>
      <w:r w:rsidRPr="00260097">
        <w:rPr>
          <w:rStyle w:val="FootnoteReference"/>
          <w:sz w:val="20"/>
          <w:szCs w:val="20"/>
        </w:rPr>
        <w:footnoteRef/>
      </w:r>
      <w:r w:rsidRPr="00260097">
        <w:rPr>
          <w:sz w:val="20"/>
          <w:szCs w:val="20"/>
        </w:rPr>
        <w:t xml:space="preserve"> </w:t>
      </w:r>
      <w:r w:rsidRPr="00260097">
        <w:rPr>
          <w:rFonts w:ascii="Cambria" w:hAnsi="Cambria" w:cs="Times New Roman"/>
          <w:sz w:val="20"/>
          <w:szCs w:val="20"/>
        </w:rPr>
        <w:t>The statement has troubled interpreters as the king appears to be</w:t>
      </w:r>
      <w:r>
        <w:rPr>
          <w:rFonts w:ascii="Cambria" w:hAnsi="Cambria" w:cs="Times New Roman"/>
          <w:sz w:val="20"/>
          <w:szCs w:val="20"/>
        </w:rPr>
        <w:t xml:space="preserve"> addressed</w:t>
      </w:r>
      <w:r w:rsidRPr="00260097">
        <w:rPr>
          <w:rFonts w:ascii="Cambria" w:hAnsi="Cambria" w:cs="Times New Roman"/>
          <w:sz w:val="20"/>
          <w:szCs w:val="20"/>
        </w:rPr>
        <w:t xml:space="preserve"> as God</w:t>
      </w:r>
      <w:r>
        <w:rPr>
          <w:rFonts w:ascii="Cambria" w:hAnsi="Cambria" w:cs="Times New Roman"/>
          <w:sz w:val="20"/>
          <w:szCs w:val="20"/>
        </w:rPr>
        <w:t xml:space="preserve">.  On this, see Aubrey R. Johnson, </w:t>
      </w:r>
      <w:r w:rsidRPr="00260097">
        <w:rPr>
          <w:rFonts w:ascii="Cambria" w:hAnsi="Cambria" w:cs="Times New Roman"/>
          <w:i/>
          <w:iCs/>
          <w:sz w:val="20"/>
          <w:szCs w:val="20"/>
        </w:rPr>
        <w:t>Sacral Kingship in Ancient Israel</w:t>
      </w:r>
      <w:r>
        <w:rPr>
          <w:rFonts w:ascii="Cambria" w:hAnsi="Cambria" w:cs="Times New Roman"/>
          <w:sz w:val="20"/>
          <w:szCs w:val="20"/>
        </w:rPr>
        <w:t xml:space="preserve"> (Cardiff: University of Wales Press, 1967), 30 n. 1. Mark W. Hamilton [</w:t>
      </w:r>
      <w:r>
        <w:rPr>
          <w:rFonts w:ascii="Cambria" w:hAnsi="Cambria" w:cs="Times New Roman"/>
          <w:i/>
          <w:sz w:val="20"/>
          <w:szCs w:val="20"/>
        </w:rPr>
        <w:t xml:space="preserve">The Body Royal: The Social Poetic of Kingship in Ancient Israel </w:t>
      </w:r>
      <w:r>
        <w:rPr>
          <w:rFonts w:ascii="Cambria" w:hAnsi="Cambria" w:cs="Times New Roman"/>
          <w:sz w:val="20"/>
          <w:szCs w:val="20"/>
        </w:rPr>
        <w:t>(Biblical Interpretation Series 78; Leiden: Brill, 2008), 49] in commenting on Ps. 45 (MT) rightly states: “A central feature of the royal propaganda is thus the extraordinary, godlike status of the king.”</w:t>
      </w:r>
    </w:p>
  </w:footnote>
  <w:footnote w:id="65">
    <w:p w14:paraId="2125D395" w14:textId="24BFF8DC" w:rsidR="00225DE7" w:rsidRPr="00B35F00" w:rsidRDefault="00225DE7">
      <w:pPr>
        <w:pStyle w:val="FootnoteText"/>
        <w:rPr>
          <w:sz w:val="20"/>
          <w:szCs w:val="20"/>
        </w:rPr>
      </w:pPr>
      <w:r>
        <w:rPr>
          <w:rStyle w:val="FootnoteReference"/>
        </w:rPr>
        <w:footnoteRef/>
      </w:r>
      <w:r>
        <w:t xml:space="preserve"> </w:t>
      </w:r>
      <w:r>
        <w:rPr>
          <w:sz w:val="20"/>
          <w:szCs w:val="20"/>
        </w:rPr>
        <w:t xml:space="preserve">Hamilton, </w:t>
      </w:r>
      <w:r w:rsidRPr="00B35F00">
        <w:rPr>
          <w:i/>
          <w:iCs/>
          <w:sz w:val="20"/>
          <w:szCs w:val="20"/>
        </w:rPr>
        <w:t>The Body</w:t>
      </w:r>
      <w:r>
        <w:rPr>
          <w:i/>
          <w:iCs/>
          <w:sz w:val="20"/>
          <w:szCs w:val="20"/>
        </w:rPr>
        <w:t xml:space="preserve"> Royal</w:t>
      </w:r>
      <w:r>
        <w:rPr>
          <w:sz w:val="20"/>
          <w:szCs w:val="20"/>
        </w:rPr>
        <w:t>, 52-53.</w:t>
      </w:r>
    </w:p>
  </w:footnote>
  <w:footnote w:id="66">
    <w:p w14:paraId="07A54948" w14:textId="5F222BE0" w:rsidR="00225DE7" w:rsidRPr="00115C53" w:rsidRDefault="00225DE7" w:rsidP="00260097">
      <w:pPr>
        <w:pStyle w:val="FootnoteText"/>
        <w:jc w:val="both"/>
        <w:rPr>
          <w:sz w:val="20"/>
          <w:szCs w:val="20"/>
        </w:rPr>
      </w:pPr>
      <w:r>
        <w:rPr>
          <w:rStyle w:val="FootnoteReference"/>
        </w:rPr>
        <w:footnoteRef/>
      </w:r>
      <w:r>
        <w:t xml:space="preserve"> </w:t>
      </w:r>
      <w:r>
        <w:rPr>
          <w:sz w:val="20"/>
          <w:szCs w:val="20"/>
        </w:rPr>
        <w:t xml:space="preserve">This is also briefly noted by Adela Yarbro Collins who suggests royal statements like this may have been the soil out of which the early church affirmed the divine identity of Jesus.  See “The Worship of Jesus and the Imperial Cult,” in </w:t>
      </w:r>
      <w:r w:rsidRPr="00260097">
        <w:rPr>
          <w:i/>
          <w:iCs/>
          <w:sz w:val="20"/>
          <w:szCs w:val="20"/>
        </w:rPr>
        <w:t>The Jewish Roots of Christological Monotheism: Papers from the St. Andrews Conference on the Historical Origins of the Worship of Jesus</w:t>
      </w:r>
      <w:r>
        <w:rPr>
          <w:sz w:val="20"/>
          <w:szCs w:val="20"/>
        </w:rPr>
        <w:t xml:space="preserve"> (ed. Carey C. Newman, et al.; Supplements to the Study for the Journal of Judaism 63; Leiden: Brill, 1999), 234-257, here, 239-240.</w:t>
      </w:r>
    </w:p>
  </w:footnote>
  <w:footnote w:id="67">
    <w:p w14:paraId="560B606A" w14:textId="14A2198F" w:rsidR="00225DE7" w:rsidRPr="00B35F00" w:rsidRDefault="00225DE7" w:rsidP="00374296">
      <w:pPr>
        <w:pStyle w:val="FootnoteText"/>
        <w:jc w:val="both"/>
        <w:rPr>
          <w:sz w:val="20"/>
          <w:szCs w:val="20"/>
        </w:rPr>
      </w:pPr>
      <w:r>
        <w:rPr>
          <w:rStyle w:val="FootnoteReference"/>
        </w:rPr>
        <w:footnoteRef/>
      </w:r>
      <w:r>
        <w:t xml:space="preserve"> </w:t>
      </w:r>
      <w:r>
        <w:rPr>
          <w:sz w:val="20"/>
          <w:szCs w:val="20"/>
        </w:rPr>
        <w:t xml:space="preserve">On LXX Ps. 109 as a liturgical royal coronation hymn used to publically address the king, see S. E. Gillingham, </w:t>
      </w:r>
      <w:r w:rsidRPr="001778A4">
        <w:rPr>
          <w:i/>
          <w:iCs/>
          <w:sz w:val="20"/>
          <w:szCs w:val="20"/>
        </w:rPr>
        <w:t>The Poems and Psalms of the Hebrew Bible</w:t>
      </w:r>
      <w:r>
        <w:rPr>
          <w:sz w:val="20"/>
          <w:szCs w:val="20"/>
        </w:rPr>
        <w:t xml:space="preserve"> (Oxford: Oxford University Press, 1984), 225-226.  Also, see Gunkel, </w:t>
      </w:r>
      <w:r w:rsidRPr="00B35F00">
        <w:rPr>
          <w:i/>
          <w:iCs/>
          <w:sz w:val="20"/>
          <w:szCs w:val="20"/>
        </w:rPr>
        <w:t>Einleitung</w:t>
      </w:r>
      <w:r>
        <w:rPr>
          <w:sz w:val="20"/>
          <w:szCs w:val="20"/>
        </w:rPr>
        <w:t xml:space="preserve">, 141; Sigmund Mowinckel, </w:t>
      </w:r>
      <w:r w:rsidRPr="00B35F00">
        <w:rPr>
          <w:i/>
          <w:iCs/>
          <w:sz w:val="20"/>
          <w:szCs w:val="20"/>
        </w:rPr>
        <w:t>Psalms in Israel’s Worship</w:t>
      </w:r>
      <w:r>
        <w:rPr>
          <w:sz w:val="20"/>
          <w:szCs w:val="20"/>
        </w:rPr>
        <w:t>, 2.153.</w:t>
      </w:r>
    </w:p>
  </w:footnote>
  <w:footnote w:id="68">
    <w:p w14:paraId="04E45A3D" w14:textId="138FBB7C" w:rsidR="00225DE7" w:rsidRPr="00974AAB" w:rsidRDefault="00225DE7" w:rsidP="000913EC">
      <w:pPr>
        <w:pStyle w:val="FootnoteText"/>
        <w:jc w:val="both"/>
        <w:rPr>
          <w:rFonts w:ascii="Cambria" w:hAnsi="Cambria"/>
          <w:sz w:val="20"/>
          <w:szCs w:val="20"/>
        </w:rPr>
      </w:pPr>
      <w:r>
        <w:rPr>
          <w:rStyle w:val="FootnoteReference"/>
        </w:rPr>
        <w:footnoteRef/>
      </w:r>
      <w:r>
        <w:t xml:space="preserve"> </w:t>
      </w:r>
      <w:r>
        <w:rPr>
          <w:sz w:val="20"/>
          <w:szCs w:val="20"/>
        </w:rPr>
        <w:t xml:space="preserve">So Adela Yarbro Collins and John J. Collins, </w:t>
      </w:r>
      <w:r w:rsidRPr="000913EC">
        <w:rPr>
          <w:i/>
          <w:iCs/>
          <w:sz w:val="20"/>
          <w:szCs w:val="20"/>
        </w:rPr>
        <w:t>King and Messiah as Son of God: Divine, Human, and Angelic Messianic Figures in Biblical and Related Literature</w:t>
      </w:r>
      <w:r>
        <w:rPr>
          <w:sz w:val="20"/>
          <w:szCs w:val="20"/>
        </w:rPr>
        <w:t xml:space="preserve"> (Grand Rapids: Eerdmans, 2008), 57-58.  The MT is incredibly opaque (literally – “in sacred splendors from the womb of the dawn, to you the dew of the earth” (Ps. 110:3).  See Aquila H. I. Lee, </w:t>
      </w:r>
      <w:r w:rsidRPr="00093981">
        <w:rPr>
          <w:i/>
          <w:iCs/>
          <w:sz w:val="20"/>
          <w:szCs w:val="20"/>
        </w:rPr>
        <w:t>From Messiah to Preexistent Son: Jesus’ Self-Consciousness and Early Christian Exegesis of Messianic Psalms</w:t>
      </w:r>
      <w:r>
        <w:rPr>
          <w:sz w:val="20"/>
          <w:szCs w:val="20"/>
        </w:rPr>
        <w:t xml:space="preserve"> (WUNT 2; Tübingen: Mohr-Siebeck, 2005), 113, who states: “…we admit that the final rendering of v. 3 [LXX Ps. 109:3] becomes capable of being understood by later readers (e.g., early Christians?) as implying the pre-existence of the messiah.”  Similarly but more broadly, see Horbury, </w:t>
      </w:r>
      <w:r w:rsidRPr="00093981">
        <w:rPr>
          <w:i/>
          <w:iCs/>
          <w:sz w:val="20"/>
          <w:szCs w:val="20"/>
        </w:rPr>
        <w:t>Jewish Messianism</w:t>
      </w:r>
      <w:r>
        <w:rPr>
          <w:sz w:val="20"/>
          <w:szCs w:val="20"/>
        </w:rPr>
        <w:t>, 96-97.</w:t>
      </w:r>
    </w:p>
  </w:footnote>
  <w:footnote w:id="69">
    <w:p w14:paraId="7B0043D1" w14:textId="65AE7B1D" w:rsidR="00225DE7" w:rsidRPr="00DF3561" w:rsidRDefault="00225DE7">
      <w:pPr>
        <w:pStyle w:val="FootnoteText"/>
        <w:rPr>
          <w:sz w:val="20"/>
          <w:szCs w:val="20"/>
        </w:rPr>
      </w:pPr>
      <w:r>
        <w:rPr>
          <w:rStyle w:val="FootnoteReference"/>
        </w:rPr>
        <w:footnoteRef/>
      </w:r>
      <w:r>
        <w:t xml:space="preserve"> </w:t>
      </w:r>
      <w:r>
        <w:rPr>
          <w:sz w:val="20"/>
          <w:szCs w:val="20"/>
        </w:rPr>
        <w:t>Schaper, 106-107.</w:t>
      </w:r>
    </w:p>
  </w:footnote>
  <w:footnote w:id="70">
    <w:p w14:paraId="4A7ADEDE" w14:textId="428F5444" w:rsidR="00225DE7" w:rsidRPr="00260097" w:rsidRDefault="00225DE7">
      <w:pPr>
        <w:pStyle w:val="FootnoteText"/>
        <w:rPr>
          <w:sz w:val="20"/>
          <w:szCs w:val="20"/>
        </w:rPr>
      </w:pPr>
      <w:r>
        <w:rPr>
          <w:rStyle w:val="FootnoteReference"/>
        </w:rPr>
        <w:footnoteRef/>
      </w:r>
      <w:r>
        <w:t xml:space="preserve"> </w:t>
      </w:r>
      <w:r>
        <w:rPr>
          <w:sz w:val="20"/>
          <w:szCs w:val="20"/>
        </w:rPr>
        <w:t xml:space="preserve">See Mays, </w:t>
      </w:r>
      <w:r w:rsidRPr="00260097">
        <w:rPr>
          <w:i/>
          <w:iCs/>
          <w:sz w:val="20"/>
          <w:szCs w:val="20"/>
        </w:rPr>
        <w:t>The Lord Reigns</w:t>
      </w:r>
      <w:r>
        <w:rPr>
          <w:sz w:val="20"/>
          <w:szCs w:val="20"/>
        </w:rPr>
        <w:t>, 105.</w:t>
      </w:r>
    </w:p>
  </w:footnote>
  <w:footnote w:id="71">
    <w:p w14:paraId="5A264EED" w14:textId="3CBD30AB" w:rsidR="00225DE7" w:rsidRPr="00B35F00" w:rsidRDefault="00225DE7" w:rsidP="009801A9">
      <w:pPr>
        <w:widowControl w:val="0"/>
        <w:autoSpaceDE w:val="0"/>
        <w:autoSpaceDN w:val="0"/>
        <w:adjustRightInd w:val="0"/>
        <w:jc w:val="both"/>
        <w:rPr>
          <w:rFonts w:ascii="Cambria" w:hAnsi="Cambria" w:cs="Times New Roman"/>
          <w:sz w:val="20"/>
          <w:szCs w:val="20"/>
        </w:rPr>
      </w:pPr>
      <w:r w:rsidRPr="00B35F00">
        <w:rPr>
          <w:rStyle w:val="FootnoteReference"/>
          <w:rFonts w:ascii="Cambria" w:hAnsi="Cambria"/>
        </w:rPr>
        <w:footnoteRef/>
      </w:r>
      <w:r w:rsidRPr="00B35F00">
        <w:rPr>
          <w:rFonts w:ascii="Cambria" w:hAnsi="Cambria"/>
        </w:rPr>
        <w:t xml:space="preserve"> </w:t>
      </w:r>
      <w:r w:rsidRPr="00B35F00">
        <w:rPr>
          <w:rFonts w:ascii="Cambria" w:hAnsi="Cambria" w:cs="Times New Roman"/>
          <w:sz w:val="20"/>
          <w:szCs w:val="20"/>
        </w:rPr>
        <w:t xml:space="preserve">Eaton, </w:t>
      </w:r>
      <w:r w:rsidRPr="00B35F00">
        <w:rPr>
          <w:rFonts w:ascii="Cambria" w:hAnsi="Cambria" w:cs="Times New Roman"/>
          <w:i/>
          <w:sz w:val="20"/>
          <w:szCs w:val="20"/>
        </w:rPr>
        <w:t>Kingship and Psalms</w:t>
      </w:r>
      <w:r w:rsidRPr="00B35F00">
        <w:rPr>
          <w:rFonts w:ascii="Cambria" w:hAnsi="Cambria" w:cs="Times New Roman"/>
          <w:sz w:val="20"/>
          <w:szCs w:val="20"/>
        </w:rPr>
        <w:t xml:space="preserve"> (Studies in Biblical Theology 32; London: SCM, 1976), </w:t>
      </w:r>
      <w:r w:rsidRPr="00B35F00">
        <w:rPr>
          <w:rFonts w:ascii="Cambria" w:hAnsi="Cambria"/>
          <w:sz w:val="20"/>
          <w:szCs w:val="20"/>
        </w:rPr>
        <w:t>142-146.</w:t>
      </w:r>
      <w:r>
        <w:rPr>
          <w:rFonts w:ascii="Cambria" w:hAnsi="Cambria"/>
          <w:sz w:val="20"/>
          <w:szCs w:val="20"/>
        </w:rPr>
        <w:t xml:space="preserve"> Eaton points to numerous texts that associate the king incredibly closely with Yahweh (e.g., Pss. 18:20; 41:13; 61:5; 62:8; 63:8-10; 91:1,4).</w:t>
      </w:r>
    </w:p>
  </w:footnote>
  <w:footnote w:id="72">
    <w:p w14:paraId="5180FA3C" w14:textId="2AA89EE5" w:rsidR="00225DE7" w:rsidRPr="009919C7" w:rsidRDefault="00225DE7" w:rsidP="009919C7">
      <w:pPr>
        <w:pStyle w:val="FootnoteText"/>
        <w:jc w:val="both"/>
        <w:rPr>
          <w:sz w:val="20"/>
          <w:szCs w:val="20"/>
        </w:rPr>
      </w:pPr>
      <w:r>
        <w:rPr>
          <w:rStyle w:val="FootnoteReference"/>
        </w:rPr>
        <w:footnoteRef/>
      </w:r>
      <w:r>
        <w:t xml:space="preserve"> </w:t>
      </w:r>
      <w:r>
        <w:rPr>
          <w:sz w:val="20"/>
          <w:szCs w:val="20"/>
        </w:rPr>
        <w:t xml:space="preserve">Vv. 1-19 is a hymnic composition celebrating the righteous reign of God; vv. 20-38 is a poetic expansion of the covenant made to David in 2 Sam. 7; and vv. 39-53 is a lament that accuses God of breaking his covenant with David.  See Knut M. Heim, “The (God-)Forsaken King of Psalm 89: A Historical and Intertextual Inquiry,” in </w:t>
      </w:r>
      <w:r w:rsidRPr="009919C7">
        <w:rPr>
          <w:i/>
          <w:iCs/>
          <w:sz w:val="20"/>
          <w:szCs w:val="20"/>
        </w:rPr>
        <w:t>King and Messiah</w:t>
      </w:r>
      <w:r>
        <w:rPr>
          <w:i/>
          <w:iCs/>
          <w:sz w:val="20"/>
          <w:szCs w:val="20"/>
        </w:rPr>
        <w:t xml:space="preserve"> in Israel and the Ancient Near East: Proceedings of the Oxford Old Testament Seminar</w:t>
      </w:r>
      <w:r>
        <w:rPr>
          <w:iCs/>
          <w:sz w:val="20"/>
          <w:szCs w:val="20"/>
        </w:rPr>
        <w:t xml:space="preserve"> (ed. John Day; Journal for the Study of the Old Testament Supplement Series 270; xx)</w:t>
      </w:r>
      <w:r>
        <w:rPr>
          <w:sz w:val="20"/>
          <w:szCs w:val="20"/>
        </w:rPr>
        <w:t>, 296-322, here, 296-299.</w:t>
      </w:r>
    </w:p>
  </w:footnote>
  <w:footnote w:id="73">
    <w:p w14:paraId="36B18DE0" w14:textId="5C8E8603" w:rsidR="00225DE7" w:rsidRPr="00115C53" w:rsidRDefault="00225DE7" w:rsidP="009919C7">
      <w:pPr>
        <w:pStyle w:val="FootnoteText"/>
        <w:jc w:val="both"/>
        <w:rPr>
          <w:sz w:val="20"/>
          <w:szCs w:val="20"/>
        </w:rPr>
      </w:pPr>
      <w:r>
        <w:rPr>
          <w:rStyle w:val="FootnoteReference"/>
        </w:rPr>
        <w:footnoteRef/>
      </w:r>
      <w:r>
        <w:t xml:space="preserve"> </w:t>
      </w:r>
      <w:r>
        <w:rPr>
          <w:sz w:val="20"/>
          <w:szCs w:val="20"/>
        </w:rPr>
        <w:t xml:space="preserve">Jon D. Levenson perceptively articulates how God’s defeat of his enemies and his ensuing rule is the basis for King David’s governance of creation.  The interconnection between the rule of God and the rule of David is the reason for the great lament in LXX Ps. 88.  See his </w:t>
      </w:r>
      <w:r w:rsidRPr="009919C7">
        <w:rPr>
          <w:i/>
          <w:iCs/>
          <w:sz w:val="20"/>
          <w:szCs w:val="20"/>
        </w:rPr>
        <w:t>Creation and the Persistence of Evil: The Jewish Drama of Divine Omnipotence</w:t>
      </w:r>
      <w:r>
        <w:rPr>
          <w:sz w:val="20"/>
          <w:szCs w:val="20"/>
        </w:rPr>
        <w:t xml:space="preserve"> (San Francisco: Harper &amp; Row, 1988), 116-117; Hamilton, </w:t>
      </w:r>
      <w:r w:rsidRPr="00B64F9C">
        <w:rPr>
          <w:i/>
          <w:iCs/>
          <w:sz w:val="20"/>
          <w:szCs w:val="20"/>
        </w:rPr>
        <w:t>The Body Royal</w:t>
      </w:r>
      <w:r>
        <w:rPr>
          <w:sz w:val="20"/>
          <w:szCs w:val="20"/>
        </w:rPr>
        <w:t>, 91.</w:t>
      </w:r>
    </w:p>
  </w:footnote>
  <w:footnote w:id="74">
    <w:p w14:paraId="671A2891" w14:textId="6D11B75E" w:rsidR="00225DE7" w:rsidRPr="00974AAB" w:rsidRDefault="00225DE7" w:rsidP="00B35F00">
      <w:pPr>
        <w:pStyle w:val="FootnoteText"/>
        <w:jc w:val="both"/>
        <w:rPr>
          <w:sz w:val="20"/>
          <w:szCs w:val="20"/>
        </w:rPr>
      </w:pPr>
      <w:r>
        <w:rPr>
          <w:rStyle w:val="FootnoteReference"/>
        </w:rPr>
        <w:footnoteRef/>
      </w:r>
      <w:r>
        <w:t xml:space="preserve"> </w:t>
      </w:r>
      <w:r>
        <w:rPr>
          <w:sz w:val="20"/>
          <w:szCs w:val="20"/>
        </w:rPr>
        <w:t xml:space="preserve">J. J. M. Roberts [“The Enthronement of Yhwh and David: The Abiding Theological Significance of the Kingship Language of the Psalms,” </w:t>
      </w:r>
      <w:r w:rsidRPr="00B35F00">
        <w:rPr>
          <w:i/>
          <w:iCs/>
          <w:sz w:val="20"/>
          <w:szCs w:val="20"/>
        </w:rPr>
        <w:t>CBQ</w:t>
      </w:r>
      <w:r>
        <w:rPr>
          <w:sz w:val="20"/>
          <w:szCs w:val="20"/>
        </w:rPr>
        <w:t xml:space="preserve"> 64 (2002): 675-686], here, 679] states: “God puts David’s hand on the Sea and his right hand on the Rivers, God’s two cosmogonic enemies (v. 26).  Thus, the victories of the Davidic king are simply a participation in and reinstatement of God’s primeval victories.” Also, see Jerome F. Creach, </w:t>
      </w:r>
      <w:r w:rsidRPr="00974AAB">
        <w:rPr>
          <w:i/>
          <w:iCs/>
          <w:sz w:val="20"/>
          <w:szCs w:val="20"/>
        </w:rPr>
        <w:t>The Destiny of the Righteous in the Psalms</w:t>
      </w:r>
      <w:r>
        <w:rPr>
          <w:i/>
          <w:iCs/>
          <w:sz w:val="20"/>
          <w:szCs w:val="20"/>
        </w:rPr>
        <w:t xml:space="preserve"> </w:t>
      </w:r>
      <w:r>
        <w:rPr>
          <w:iCs/>
          <w:sz w:val="20"/>
          <w:szCs w:val="20"/>
        </w:rPr>
        <w:t xml:space="preserve"> (St. Louis: Chalice Press, 2008), 91-93.</w:t>
      </w:r>
    </w:p>
  </w:footnote>
  <w:footnote w:id="75">
    <w:p w14:paraId="7C6B6169" w14:textId="0E1F7FE3" w:rsidR="00225DE7" w:rsidRPr="00260097" w:rsidRDefault="00225DE7" w:rsidP="00260097">
      <w:pPr>
        <w:pStyle w:val="FootnoteText"/>
        <w:jc w:val="both"/>
        <w:rPr>
          <w:sz w:val="20"/>
          <w:szCs w:val="20"/>
        </w:rPr>
      </w:pPr>
      <w:r w:rsidRPr="00260097">
        <w:rPr>
          <w:rStyle w:val="FootnoteReference"/>
          <w:sz w:val="20"/>
          <w:szCs w:val="20"/>
        </w:rPr>
        <w:footnoteRef/>
      </w:r>
      <w:r w:rsidRPr="00260097">
        <w:rPr>
          <w:sz w:val="20"/>
          <w:szCs w:val="20"/>
        </w:rPr>
        <w:t xml:space="preserve"> James L. Mays, </w:t>
      </w:r>
      <w:r w:rsidRPr="00260097">
        <w:rPr>
          <w:i/>
          <w:iCs/>
          <w:sz w:val="20"/>
          <w:szCs w:val="20"/>
        </w:rPr>
        <w:t>The Lord Reigns: A Theological Handbook to the Psalms</w:t>
      </w:r>
      <w:r w:rsidRPr="00260097">
        <w:rPr>
          <w:sz w:val="20"/>
          <w:szCs w:val="20"/>
        </w:rPr>
        <w:t xml:space="preserve"> (Louisville: Westminster John Knox Press, 1994), 104.</w:t>
      </w:r>
    </w:p>
  </w:footnote>
  <w:footnote w:id="76">
    <w:p w14:paraId="057F2E04" w14:textId="5586154F" w:rsidR="00225DE7" w:rsidRPr="009919C7" w:rsidRDefault="00225DE7" w:rsidP="009919C7">
      <w:pPr>
        <w:pStyle w:val="FootnoteText"/>
        <w:jc w:val="both"/>
        <w:rPr>
          <w:sz w:val="20"/>
          <w:szCs w:val="20"/>
        </w:rPr>
      </w:pPr>
      <w:r>
        <w:rPr>
          <w:rStyle w:val="FootnoteReference"/>
        </w:rPr>
        <w:footnoteRef/>
      </w:r>
      <w:r>
        <w:t xml:space="preserve"> </w:t>
      </w:r>
      <w:r>
        <w:rPr>
          <w:sz w:val="20"/>
          <w:szCs w:val="20"/>
        </w:rPr>
        <w:t xml:space="preserve">Richard J. Clifford, “Psalm 89: A Lament over the Davidic Ruler’s Continued Failure,” </w:t>
      </w:r>
      <w:r w:rsidRPr="009919C7">
        <w:rPr>
          <w:i/>
          <w:iCs/>
          <w:sz w:val="20"/>
          <w:szCs w:val="20"/>
        </w:rPr>
        <w:t>HTR</w:t>
      </w:r>
      <w:r>
        <w:rPr>
          <w:sz w:val="20"/>
          <w:szCs w:val="20"/>
        </w:rPr>
        <w:t xml:space="preserve"> 73 (1980): 35-47, here, 44-45; Heim, “The (God-)Forsaken King of Psalm 89,” 314-315. Both are influenced by J. B. Dumortier, “Un Rituel D’intronisation: Le Ps. Lxxxxix 2-38,”176-196. On the god-like character of the king, see Hamilton, </w:t>
      </w:r>
      <w:r w:rsidRPr="00B35F00">
        <w:rPr>
          <w:i/>
          <w:iCs/>
          <w:sz w:val="20"/>
          <w:szCs w:val="20"/>
        </w:rPr>
        <w:t>The Body</w:t>
      </w:r>
      <w:r>
        <w:rPr>
          <w:i/>
          <w:iCs/>
          <w:sz w:val="20"/>
          <w:szCs w:val="20"/>
        </w:rPr>
        <w:t xml:space="preserve"> Royal</w:t>
      </w:r>
      <w:r>
        <w:rPr>
          <w:sz w:val="20"/>
          <w:szCs w:val="20"/>
        </w:rPr>
        <w:t>, 91-92, who says that “the royal psalms make the king out to be a superhuman, almost divine figure.”</w:t>
      </w:r>
    </w:p>
  </w:footnote>
  <w:footnote w:id="77">
    <w:p w14:paraId="78F0E8C5" w14:textId="1753E2A6" w:rsidR="00225DE7" w:rsidRPr="00B35F00" w:rsidRDefault="00225DE7">
      <w:pPr>
        <w:pStyle w:val="FootnoteText"/>
        <w:rPr>
          <w:sz w:val="20"/>
          <w:szCs w:val="20"/>
        </w:rPr>
      </w:pPr>
      <w:r>
        <w:rPr>
          <w:rStyle w:val="FootnoteReference"/>
        </w:rPr>
        <w:footnoteRef/>
      </w:r>
      <w:r>
        <w:t xml:space="preserve"> </w:t>
      </w:r>
      <w:r>
        <w:rPr>
          <w:sz w:val="20"/>
          <w:szCs w:val="20"/>
        </w:rPr>
        <w:t>So also, Roberts, “The Enthronement of Yhwh and David,” 682-683.</w:t>
      </w:r>
    </w:p>
  </w:footnote>
  <w:footnote w:id="78">
    <w:p w14:paraId="7E324EB5" w14:textId="7F565380" w:rsidR="00225DE7" w:rsidRPr="00260097" w:rsidRDefault="00225DE7" w:rsidP="00260097">
      <w:pPr>
        <w:pStyle w:val="FootnoteText"/>
        <w:jc w:val="both"/>
        <w:rPr>
          <w:sz w:val="20"/>
          <w:szCs w:val="20"/>
        </w:rPr>
      </w:pPr>
      <w:r>
        <w:rPr>
          <w:rStyle w:val="FootnoteReference"/>
        </w:rPr>
        <w:footnoteRef/>
      </w:r>
      <w:r>
        <w:t xml:space="preserve"> </w:t>
      </w:r>
      <w:r>
        <w:rPr>
          <w:sz w:val="20"/>
          <w:szCs w:val="20"/>
        </w:rPr>
        <w:t xml:space="preserve">On royal praise taking the form of prophecy, see Horbury, </w:t>
      </w:r>
      <w:r w:rsidRPr="00260097">
        <w:rPr>
          <w:i/>
          <w:iCs/>
          <w:sz w:val="20"/>
          <w:szCs w:val="20"/>
        </w:rPr>
        <w:t xml:space="preserve">Jewish </w:t>
      </w:r>
      <w:r>
        <w:rPr>
          <w:i/>
          <w:iCs/>
          <w:sz w:val="20"/>
          <w:szCs w:val="20"/>
        </w:rPr>
        <w:t>Messianism</w:t>
      </w:r>
      <w:r w:rsidRPr="00260097">
        <w:rPr>
          <w:i/>
          <w:iCs/>
          <w:sz w:val="20"/>
          <w:szCs w:val="20"/>
        </w:rPr>
        <w:t xml:space="preserve"> and the Cult of Christ,</w:t>
      </w:r>
      <w:r>
        <w:rPr>
          <w:i/>
          <w:iCs/>
          <w:sz w:val="20"/>
          <w:szCs w:val="20"/>
        </w:rPr>
        <w:t xml:space="preserve"> </w:t>
      </w:r>
      <w:r>
        <w:rPr>
          <w:iCs/>
          <w:sz w:val="20"/>
          <w:szCs w:val="20"/>
        </w:rPr>
        <w:t xml:space="preserve">127-132. On the frequency of Gen. 49:8-12 and Num. 23-24 in Second-Temple Jewish messianic texts, see Novenson, </w:t>
      </w:r>
      <w:r w:rsidRPr="001516CC">
        <w:rPr>
          <w:i/>
          <w:iCs/>
          <w:sz w:val="20"/>
          <w:szCs w:val="20"/>
        </w:rPr>
        <w:t>Christ among the Messiahs</w:t>
      </w:r>
      <w:r>
        <w:rPr>
          <w:iCs/>
          <w:sz w:val="20"/>
          <w:szCs w:val="20"/>
        </w:rPr>
        <w:t>, 56-58.</w:t>
      </w:r>
    </w:p>
  </w:footnote>
  <w:footnote w:id="79">
    <w:p w14:paraId="65E17341" w14:textId="1790225D" w:rsidR="00225DE7" w:rsidRPr="00BE735C" w:rsidRDefault="00225DE7" w:rsidP="00BE735C">
      <w:pPr>
        <w:pStyle w:val="FootnoteText"/>
        <w:jc w:val="both"/>
        <w:rPr>
          <w:sz w:val="20"/>
          <w:szCs w:val="20"/>
        </w:rPr>
      </w:pPr>
      <w:r>
        <w:rPr>
          <w:rStyle w:val="FootnoteReference"/>
        </w:rPr>
        <w:footnoteRef/>
      </w:r>
      <w:r>
        <w:t xml:space="preserve"> </w:t>
      </w:r>
      <w:r>
        <w:rPr>
          <w:sz w:val="20"/>
          <w:szCs w:val="20"/>
        </w:rPr>
        <w:t xml:space="preserve">The oracle of Judah was understood by both Christians and Jews as looking forward to an ideal king. See J. Blenkinsopp, “The Oracle of Judah and the Messianic Entry,” </w:t>
      </w:r>
      <w:r w:rsidRPr="00D471C5">
        <w:rPr>
          <w:i/>
          <w:iCs/>
          <w:sz w:val="20"/>
          <w:szCs w:val="20"/>
        </w:rPr>
        <w:t>JBL</w:t>
      </w:r>
      <w:r>
        <w:rPr>
          <w:sz w:val="20"/>
          <w:szCs w:val="20"/>
        </w:rPr>
        <w:t xml:space="preserve"> 80 (1961): 55-64, here, 56-57.</w:t>
      </w:r>
      <w:r>
        <w:t xml:space="preserve"> </w:t>
      </w:r>
      <w:r>
        <w:rPr>
          <w:sz w:val="20"/>
          <w:szCs w:val="20"/>
        </w:rPr>
        <w:t>John H. Sailhamer [</w:t>
      </w:r>
      <w:r w:rsidRPr="00BE735C">
        <w:rPr>
          <w:i/>
          <w:iCs/>
          <w:sz w:val="20"/>
          <w:szCs w:val="20"/>
        </w:rPr>
        <w:t>The Meaning of the Pentateuch: Revelation, Composition and Interpretation</w:t>
      </w:r>
      <w:r>
        <w:rPr>
          <w:iCs/>
          <w:sz w:val="20"/>
          <w:szCs w:val="20"/>
        </w:rPr>
        <w:t xml:space="preserve"> (Downers Grove, IL: InterVarsity Press, 2009), 324</w:t>
      </w:r>
      <w:r>
        <w:rPr>
          <w:sz w:val="20"/>
          <w:szCs w:val="20"/>
        </w:rPr>
        <w:t xml:space="preserve">] argues that these poems (including Exod. 15:1-22) are part of a deliberate editorial strategy of giving the Pentateuch a royal shape. On the royal and potentially messianic focus of Gen. 49:8-12, see T. Desmond Alexander, “Messianic Ideology in Genesis,” </w:t>
      </w:r>
      <w:r w:rsidRPr="009919C7">
        <w:rPr>
          <w:i/>
          <w:iCs/>
          <w:sz w:val="20"/>
          <w:szCs w:val="20"/>
        </w:rPr>
        <w:t>The Lord’s Anointed: Interpretation of Old Testament Messianic Texts</w:t>
      </w:r>
      <w:r>
        <w:rPr>
          <w:sz w:val="20"/>
          <w:szCs w:val="20"/>
        </w:rPr>
        <w:t xml:space="preserve"> (eds. Philip E. Satterthwaite et al., Grand Rapids: Baker, xx), 19-39, here, 32-37.</w:t>
      </w:r>
    </w:p>
  </w:footnote>
  <w:footnote w:id="80">
    <w:p w14:paraId="1130157A" w14:textId="29D30A5E" w:rsidR="00225DE7" w:rsidRPr="00BE735C" w:rsidRDefault="00225DE7" w:rsidP="00BE735C">
      <w:pPr>
        <w:pStyle w:val="FootnoteText"/>
        <w:jc w:val="both"/>
        <w:rPr>
          <w:sz w:val="20"/>
          <w:szCs w:val="20"/>
        </w:rPr>
      </w:pPr>
      <w:r>
        <w:rPr>
          <w:rStyle w:val="FootnoteReference"/>
        </w:rPr>
        <w:footnoteRef/>
      </w:r>
      <w:r>
        <w:t xml:space="preserve"> </w:t>
      </w:r>
      <w:r>
        <w:rPr>
          <w:sz w:val="20"/>
          <w:szCs w:val="20"/>
        </w:rPr>
        <w:t xml:space="preserve">The coming eschatological focus of the poems is indicated by the phrase “in the last days.” See Sailhamer, </w:t>
      </w:r>
      <w:r w:rsidRPr="00BE735C">
        <w:rPr>
          <w:i/>
          <w:iCs/>
          <w:sz w:val="20"/>
          <w:szCs w:val="20"/>
        </w:rPr>
        <w:t>The Meaning of the Pentateuch</w:t>
      </w:r>
      <w:r>
        <w:rPr>
          <w:sz w:val="20"/>
          <w:szCs w:val="20"/>
        </w:rPr>
        <w:t>, 468.</w:t>
      </w:r>
    </w:p>
  </w:footnote>
  <w:footnote w:id="81">
    <w:p w14:paraId="6C64F233" w14:textId="55F46620" w:rsidR="00225DE7" w:rsidRPr="00BE735C" w:rsidRDefault="00225DE7">
      <w:pPr>
        <w:pStyle w:val="FootnoteText"/>
        <w:rPr>
          <w:sz w:val="20"/>
          <w:szCs w:val="20"/>
        </w:rPr>
      </w:pPr>
      <w:r>
        <w:rPr>
          <w:rStyle w:val="FootnoteReference"/>
        </w:rPr>
        <w:footnoteRef/>
      </w:r>
      <w:r>
        <w:t xml:space="preserve"> </w:t>
      </w:r>
      <w:r>
        <w:rPr>
          <w:sz w:val="20"/>
          <w:szCs w:val="20"/>
        </w:rPr>
        <w:t xml:space="preserve">On which, see Sailhamer, </w:t>
      </w:r>
      <w:r w:rsidRPr="00BE735C">
        <w:rPr>
          <w:i/>
          <w:iCs/>
          <w:sz w:val="20"/>
          <w:szCs w:val="20"/>
        </w:rPr>
        <w:t>The Meaning of the Pentateuch</w:t>
      </w:r>
      <w:r>
        <w:rPr>
          <w:sz w:val="20"/>
          <w:szCs w:val="20"/>
        </w:rPr>
        <w:t>, 325-330.</w:t>
      </w:r>
    </w:p>
  </w:footnote>
  <w:footnote w:id="82">
    <w:p w14:paraId="0C7FC9C9" w14:textId="275C7ED1" w:rsidR="00225DE7" w:rsidRPr="00260097" w:rsidRDefault="00225DE7" w:rsidP="00260097">
      <w:pPr>
        <w:pStyle w:val="FootnoteText"/>
        <w:jc w:val="both"/>
        <w:rPr>
          <w:sz w:val="20"/>
          <w:szCs w:val="20"/>
        </w:rPr>
      </w:pPr>
      <w:r>
        <w:rPr>
          <w:rStyle w:val="FootnoteReference"/>
        </w:rPr>
        <w:footnoteRef/>
      </w:r>
      <w:r>
        <w:t xml:space="preserve"> </w:t>
      </w:r>
      <w:r>
        <w:rPr>
          <w:sz w:val="20"/>
          <w:szCs w:val="20"/>
        </w:rPr>
        <w:t>The dominion of the king is explicitly an eschatological reign as indicated by the note that it concerns “the end of the days” (</w:t>
      </w:r>
      <w:r>
        <w:rPr>
          <w:rFonts w:ascii="Gentium Plus" w:hAnsi="Gentium Plus"/>
          <w:sz w:val="20"/>
          <w:szCs w:val="20"/>
          <w:lang w:val="el-GR"/>
        </w:rPr>
        <w:t>ἐπ᾽ ἐσχάτου τῶν ἡμερῶν</w:t>
      </w:r>
      <w:r>
        <w:rPr>
          <w:sz w:val="20"/>
          <w:szCs w:val="20"/>
        </w:rPr>
        <w:t xml:space="preserve">, LXX Num. 24:14b).  The coming king of Numbers 23-24 appears to be the same figure hoped-for in Genesis 49:8-12.  Compare Num. 24:9 (“He crouched, he lay down like a lion, and like a lioness; who will arouse him?”) with Gen. 49:9 (“He crouches down, he lays down like a lion, and like a lioness; who will arouse him?”). The text is reminiscent of the messianic oracle of LXX Isa. 11:1 (“a bloom shall rise up from the root”). Gen 49 and Isa. 11 have certainly been taken in a messianic sense in Rev. 5:5.  See Sailhamer, </w:t>
      </w:r>
      <w:r w:rsidRPr="00BE735C">
        <w:rPr>
          <w:i/>
          <w:iCs/>
          <w:sz w:val="20"/>
          <w:szCs w:val="20"/>
        </w:rPr>
        <w:t>The Meaning of the Pentateuch</w:t>
      </w:r>
      <w:r>
        <w:rPr>
          <w:sz w:val="20"/>
          <w:szCs w:val="20"/>
        </w:rPr>
        <w:t xml:space="preserve">, 331, 335; Horbury, </w:t>
      </w:r>
      <w:r w:rsidRPr="00B35F00">
        <w:rPr>
          <w:i/>
          <w:iCs/>
          <w:sz w:val="20"/>
          <w:szCs w:val="20"/>
        </w:rPr>
        <w:t>Jewish Messianism and the Cult of Christ</w:t>
      </w:r>
      <w:r>
        <w:rPr>
          <w:sz w:val="20"/>
          <w:szCs w:val="20"/>
        </w:rPr>
        <w:t>, 50.</w:t>
      </w:r>
    </w:p>
  </w:footnote>
  <w:footnote w:id="83">
    <w:p w14:paraId="71B45241" w14:textId="23DA563A" w:rsidR="00225DE7" w:rsidRPr="00B35F00" w:rsidRDefault="00225DE7">
      <w:pPr>
        <w:pStyle w:val="FootnoteText"/>
        <w:rPr>
          <w:sz w:val="20"/>
          <w:szCs w:val="20"/>
        </w:rPr>
      </w:pPr>
      <w:r>
        <w:rPr>
          <w:rStyle w:val="FootnoteReference"/>
        </w:rPr>
        <w:footnoteRef/>
      </w:r>
      <w:r>
        <w:t xml:space="preserve"> </w:t>
      </w:r>
      <w:r>
        <w:rPr>
          <w:sz w:val="20"/>
          <w:szCs w:val="20"/>
        </w:rPr>
        <w:t xml:space="preserve">All three prophetic poems use the language of </w:t>
      </w:r>
      <w:r w:rsidRPr="00B35F00">
        <w:rPr>
          <w:rFonts w:ascii="Gentium Plus" w:hAnsi="Gentium Plus" w:cs="Times New Roman"/>
          <w:sz w:val="20"/>
          <w:szCs w:val="20"/>
          <w:lang w:val="el-GR"/>
        </w:rPr>
        <w:t>ἄρχων</w:t>
      </w:r>
      <w:r>
        <w:rPr>
          <w:sz w:val="20"/>
          <w:szCs w:val="20"/>
        </w:rPr>
        <w:t xml:space="preserve"> to refer to a coming king.</w:t>
      </w:r>
    </w:p>
  </w:footnote>
  <w:footnote w:id="84">
    <w:p w14:paraId="508337A6" w14:textId="4303246B" w:rsidR="00225DE7" w:rsidRPr="00260097" w:rsidRDefault="00225DE7" w:rsidP="00260097">
      <w:pPr>
        <w:pStyle w:val="FootnoteText"/>
        <w:jc w:val="both"/>
        <w:rPr>
          <w:sz w:val="20"/>
          <w:szCs w:val="20"/>
        </w:rPr>
      </w:pPr>
      <w:r>
        <w:rPr>
          <w:rStyle w:val="FootnoteReference"/>
        </w:rPr>
        <w:footnoteRef/>
      </w:r>
      <w:r>
        <w:t xml:space="preserve"> </w:t>
      </w:r>
      <w:r>
        <w:rPr>
          <w:sz w:val="20"/>
          <w:szCs w:val="20"/>
        </w:rPr>
        <w:t>Horbury [</w:t>
      </w:r>
      <w:r>
        <w:rPr>
          <w:i/>
          <w:sz w:val="20"/>
          <w:szCs w:val="20"/>
        </w:rPr>
        <w:t>Jewish Messianism and the Cult of Christ</w:t>
      </w:r>
      <w:r>
        <w:rPr>
          <w:sz w:val="20"/>
          <w:szCs w:val="20"/>
        </w:rPr>
        <w:t>, 51] nicely summarizes these three poetic texts of praise from the LXX: “…these LXX passages point to a consistent set of messianic hopes, constituting an expectation centred on a royal messiah which was sufficiently central and widespread among Jews of the third century to be included in the interpretation of the Pentateuch.”</w:t>
      </w:r>
    </w:p>
  </w:footnote>
  <w:footnote w:id="85">
    <w:p w14:paraId="54663FD8" w14:textId="59B9CECF" w:rsidR="00225DE7" w:rsidRPr="00115C53" w:rsidRDefault="00225DE7" w:rsidP="000913EC">
      <w:pPr>
        <w:pStyle w:val="FootnoteText"/>
        <w:jc w:val="both"/>
        <w:rPr>
          <w:sz w:val="20"/>
          <w:szCs w:val="20"/>
        </w:rPr>
      </w:pPr>
      <w:r>
        <w:rPr>
          <w:rStyle w:val="FootnoteReference"/>
        </w:rPr>
        <w:footnoteRef/>
      </w:r>
      <w:r>
        <w:t xml:space="preserve"> </w:t>
      </w:r>
      <w:r>
        <w:rPr>
          <w:sz w:val="20"/>
          <w:szCs w:val="20"/>
        </w:rPr>
        <w:t xml:space="preserve">Similarly Horbury, </w:t>
      </w:r>
      <w:r>
        <w:rPr>
          <w:i/>
          <w:iCs/>
          <w:sz w:val="20"/>
          <w:szCs w:val="20"/>
        </w:rPr>
        <w:t>Jewish Messian</w:t>
      </w:r>
      <w:r w:rsidRPr="00115C53">
        <w:rPr>
          <w:i/>
          <w:iCs/>
          <w:sz w:val="20"/>
          <w:szCs w:val="20"/>
        </w:rPr>
        <w:t>i</w:t>
      </w:r>
      <w:r>
        <w:rPr>
          <w:i/>
          <w:iCs/>
          <w:sz w:val="20"/>
          <w:szCs w:val="20"/>
        </w:rPr>
        <w:t>s</w:t>
      </w:r>
      <w:r w:rsidRPr="00115C53">
        <w:rPr>
          <w:i/>
          <w:iCs/>
          <w:sz w:val="20"/>
          <w:szCs w:val="20"/>
        </w:rPr>
        <w:t>m and the Cult of Christ</w:t>
      </w:r>
      <w:r>
        <w:rPr>
          <w:sz w:val="20"/>
          <w:szCs w:val="20"/>
        </w:rPr>
        <w:t xml:space="preserve">, 132; cf. Scott W. Hahn, </w:t>
      </w:r>
      <w:r w:rsidRPr="00260097">
        <w:rPr>
          <w:i/>
          <w:iCs/>
          <w:sz w:val="20"/>
          <w:szCs w:val="20"/>
        </w:rPr>
        <w:t>The Kingdom of God as Liturgical Empire: A Theological Commentary on 1-2 Chronicles</w:t>
      </w:r>
      <w:r>
        <w:rPr>
          <w:sz w:val="20"/>
          <w:szCs w:val="20"/>
        </w:rPr>
        <w:t xml:space="preserve"> (Grand Rapids: Baker Academic Press, 2012), 97.</w:t>
      </w:r>
    </w:p>
  </w:footnote>
  <w:footnote w:id="86">
    <w:p w14:paraId="754F5533" w14:textId="1F6141A6" w:rsidR="00225DE7" w:rsidRPr="00260097" w:rsidRDefault="00225DE7" w:rsidP="000913EC">
      <w:pPr>
        <w:pStyle w:val="FootnoteText"/>
        <w:jc w:val="both"/>
        <w:rPr>
          <w:rFonts w:ascii="Cambria" w:hAnsi="Cambria"/>
          <w:sz w:val="20"/>
          <w:szCs w:val="20"/>
        </w:rPr>
      </w:pPr>
      <w:r w:rsidRPr="00260097">
        <w:rPr>
          <w:rStyle w:val="FootnoteReference"/>
          <w:rFonts w:ascii="Cambria" w:hAnsi="Cambria"/>
          <w:sz w:val="20"/>
          <w:szCs w:val="20"/>
        </w:rPr>
        <w:footnoteRef/>
      </w:r>
      <w:r w:rsidRPr="00260097">
        <w:rPr>
          <w:rFonts w:ascii="Cambria" w:hAnsi="Cambria"/>
          <w:sz w:val="20"/>
          <w:szCs w:val="20"/>
        </w:rPr>
        <w:t xml:space="preserve"> Matthew Lynch [xxx] states that this act “</w:t>
      </w:r>
      <w:r w:rsidRPr="00260097">
        <w:rPr>
          <w:rFonts w:ascii="Cambria" w:hAnsi="Cambria" w:cs="times`"/>
          <w:sz w:val="20"/>
          <w:szCs w:val="20"/>
          <w:lang w:bidi="he-IL"/>
        </w:rPr>
        <w:t xml:space="preserve">is unprecedented insofar as a human (David) </w:t>
      </w:r>
      <w:r w:rsidRPr="00260097">
        <w:rPr>
          <w:rFonts w:ascii="Cambria" w:hAnsi="Cambria" w:cs="times`"/>
          <w:i/>
          <w:iCs/>
          <w:sz w:val="20"/>
          <w:szCs w:val="20"/>
          <w:lang w:bidi="he-IL"/>
        </w:rPr>
        <w:t>and</w:t>
      </w:r>
      <w:r w:rsidRPr="00260097">
        <w:rPr>
          <w:rFonts w:ascii="Cambria" w:hAnsi="Cambria" w:cs="times`"/>
          <w:sz w:val="20"/>
          <w:szCs w:val="20"/>
          <w:lang w:bidi="he-IL"/>
        </w:rPr>
        <w:t xml:space="preserve"> Yhwh receive the same acts of ritual prostration.</w:t>
      </w:r>
      <w:r>
        <w:rPr>
          <w:rFonts w:ascii="Cambria" w:hAnsi="Cambria" w:cs="times`"/>
          <w:sz w:val="20"/>
          <w:szCs w:val="20"/>
          <w:lang w:bidi="he-IL"/>
        </w:rPr>
        <w:t>”</w:t>
      </w:r>
    </w:p>
  </w:footnote>
  <w:footnote w:id="87">
    <w:p w14:paraId="0128B129" w14:textId="55226D17" w:rsidR="00225DE7" w:rsidRPr="00260097" w:rsidRDefault="00225DE7" w:rsidP="000913EC">
      <w:pPr>
        <w:pStyle w:val="FootnoteText"/>
        <w:jc w:val="both"/>
        <w:rPr>
          <w:sz w:val="20"/>
          <w:szCs w:val="20"/>
        </w:rPr>
      </w:pPr>
      <w:r>
        <w:rPr>
          <w:rStyle w:val="FootnoteReference"/>
        </w:rPr>
        <w:footnoteRef/>
      </w:r>
      <w:r>
        <w:t xml:space="preserve"> </w:t>
      </w:r>
      <w:r>
        <w:rPr>
          <w:sz w:val="20"/>
          <w:szCs w:val="20"/>
        </w:rPr>
        <w:t xml:space="preserve">A connection between LXX Ps. 44:7 and 1 Chron. 29:23 is, in fact, argued by Joachim Schaper, </w:t>
      </w:r>
      <w:r w:rsidRPr="00260097">
        <w:rPr>
          <w:i/>
          <w:iCs/>
          <w:sz w:val="20"/>
          <w:szCs w:val="20"/>
        </w:rPr>
        <w:t>Eschatology in the Greek Psalter</w:t>
      </w:r>
      <w:r>
        <w:rPr>
          <w:sz w:val="20"/>
          <w:szCs w:val="20"/>
        </w:rPr>
        <w:t xml:space="preserve"> (WUNT 2.76; Tübingen: Mohr-Siebeck, 1995), 80-81.</w:t>
      </w:r>
    </w:p>
  </w:footnote>
  <w:footnote w:id="88">
    <w:p w14:paraId="42496FF8" w14:textId="23233C46" w:rsidR="00225DE7" w:rsidRPr="009919C7" w:rsidRDefault="00225DE7" w:rsidP="009919C7">
      <w:pPr>
        <w:pStyle w:val="FootnoteText"/>
        <w:jc w:val="both"/>
        <w:rPr>
          <w:rFonts w:ascii="Cambria" w:hAnsi="Cambria"/>
          <w:sz w:val="20"/>
          <w:szCs w:val="20"/>
        </w:rPr>
      </w:pPr>
      <w:r w:rsidRPr="009919C7">
        <w:rPr>
          <w:rStyle w:val="FootnoteReference"/>
          <w:rFonts w:ascii="Cambria" w:hAnsi="Cambria"/>
          <w:sz w:val="20"/>
          <w:szCs w:val="20"/>
        </w:rPr>
        <w:footnoteRef/>
      </w:r>
      <w:r w:rsidRPr="009919C7">
        <w:rPr>
          <w:rFonts w:ascii="Cambria" w:hAnsi="Cambria"/>
          <w:sz w:val="20"/>
          <w:szCs w:val="20"/>
        </w:rPr>
        <w:t xml:space="preserve"> See Mark A. Throntveit, “The Idealization of Solomon as the Glorification of God in the Chronicler’s Royal Speeches and Royal Prayers,” in </w:t>
      </w:r>
      <w:r w:rsidRPr="009919C7">
        <w:rPr>
          <w:rFonts w:ascii="Cambria" w:hAnsi="Cambria"/>
          <w:i/>
          <w:sz w:val="20"/>
          <w:szCs w:val="20"/>
        </w:rPr>
        <w:t>The Age of Solomon: Scholarship at the turn of the Millennium</w:t>
      </w:r>
      <w:r w:rsidRPr="009919C7">
        <w:rPr>
          <w:rFonts w:ascii="Cambria" w:hAnsi="Cambria"/>
          <w:sz w:val="20"/>
          <w:szCs w:val="20"/>
        </w:rPr>
        <w:t xml:space="preserve"> (Studies in the History and Culture of the Ancient Near East 11; ed. Lowell K. Handy; Leiden: Brill, 1997), 411-427, here, 421-423.</w:t>
      </w:r>
    </w:p>
  </w:footnote>
  <w:footnote w:id="89">
    <w:p w14:paraId="4D8D82E6" w14:textId="7C8C0B66" w:rsidR="00225DE7" w:rsidRPr="00A926CC" w:rsidRDefault="00225DE7" w:rsidP="00A926CC">
      <w:pPr>
        <w:widowControl w:val="0"/>
        <w:autoSpaceDE w:val="0"/>
        <w:autoSpaceDN w:val="0"/>
        <w:adjustRightInd w:val="0"/>
        <w:jc w:val="both"/>
        <w:rPr>
          <w:rFonts w:ascii="Times New Roman" w:hAnsi="Times New Roman" w:cs="Times New Roman"/>
          <w:sz w:val="20"/>
          <w:szCs w:val="20"/>
        </w:rPr>
      </w:pPr>
      <w:r>
        <w:rPr>
          <w:rStyle w:val="FootnoteReference"/>
        </w:rPr>
        <w:footnoteRef/>
      </w:r>
      <w:r>
        <w:t xml:space="preserve"> </w:t>
      </w:r>
      <w:r>
        <w:rPr>
          <w:sz w:val="20"/>
          <w:szCs w:val="20"/>
        </w:rPr>
        <w:t xml:space="preserve">On the notion of the ideal king as sharing in God’s rule over creation such that the king is worthy of divine honorifics, one could also examine Philo’s </w:t>
      </w:r>
      <w:r w:rsidRPr="00B35F00">
        <w:rPr>
          <w:i/>
          <w:iCs/>
          <w:sz w:val="20"/>
          <w:szCs w:val="20"/>
        </w:rPr>
        <w:t>Life of Moses</w:t>
      </w:r>
      <w:r>
        <w:rPr>
          <w:sz w:val="20"/>
          <w:szCs w:val="20"/>
        </w:rPr>
        <w:t xml:space="preserve"> where Philo presents Moses as the ideal king who was deemed worthy of the honor of sharing the title “with the Father and Maker” and “who was named god and king (</w:t>
      </w:r>
      <w:r>
        <w:rPr>
          <w:rFonts w:ascii="Gentium Plus" w:hAnsi="Gentium Plus"/>
          <w:sz w:val="20"/>
          <w:szCs w:val="20"/>
          <w:lang w:val="el-GR"/>
        </w:rPr>
        <w:t>θεὸς καὶ βασιλεύς</w:t>
      </w:r>
      <w:r>
        <w:rPr>
          <w:sz w:val="20"/>
          <w:szCs w:val="20"/>
        </w:rPr>
        <w:t xml:space="preserve">) of the whole nation” (158).  Moses’ kingship consists in his “sharing God’s possessions” such that he rules over “the wealth of the whole earth and sea and rivers, and of all the other elements and the combinations which they form. … Therefore, each element obeyed him as its master, changed its natural properties and submitted to his command….” (155-157).  On Moses as ideal king in Philo, see Erwin R. Goodenough, </w:t>
      </w:r>
      <w:r w:rsidRPr="00B35F00">
        <w:rPr>
          <w:i/>
          <w:iCs/>
          <w:sz w:val="20"/>
          <w:szCs w:val="20"/>
        </w:rPr>
        <w:t>By Light, Light: The Mystic Gospel of Hellenistic Judaism</w:t>
      </w:r>
      <w:r>
        <w:rPr>
          <w:sz w:val="20"/>
          <w:szCs w:val="20"/>
        </w:rPr>
        <w:t xml:space="preserve">, 171-177; Ray Barraclough, “Philo’s Politics: Roman Rule and Hellenistic Judaism,” </w:t>
      </w:r>
      <w:r w:rsidRPr="00A926CC">
        <w:rPr>
          <w:rFonts w:ascii="Times New Roman" w:hAnsi="Times New Roman" w:cs="Times New Roman"/>
          <w:i/>
          <w:sz w:val="20"/>
          <w:szCs w:val="20"/>
        </w:rPr>
        <w:t>Aufstieg und Niedergang der römischen Welt</w:t>
      </w:r>
      <w:r>
        <w:rPr>
          <w:rFonts w:ascii="Times New Roman" w:hAnsi="Times New Roman" w:cs="Times New Roman"/>
          <w:sz w:val="20"/>
          <w:szCs w:val="20"/>
        </w:rPr>
        <w:t>, 2.1 (1984): 418-553, here,</w:t>
      </w:r>
      <w:r>
        <w:rPr>
          <w:sz w:val="20"/>
          <w:szCs w:val="20"/>
        </w:rPr>
        <w:t xml:space="preserve"> 487-491.  More broadly, see Wayne A. Meeks, “Moses as God and King,” in </w:t>
      </w:r>
      <w:r w:rsidRPr="00B35F00">
        <w:rPr>
          <w:i/>
          <w:iCs/>
          <w:sz w:val="20"/>
          <w:szCs w:val="20"/>
        </w:rPr>
        <w:t>Religions in Antiquity: Essays in Memory of Erwin Ramsdell Goodenough</w:t>
      </w:r>
      <w:r>
        <w:rPr>
          <w:sz w:val="20"/>
          <w:szCs w:val="20"/>
        </w:rPr>
        <w:t xml:space="preserve"> (ed. Jacob Neusner; Studies in the History of Religions; Leiden: Brill, 1968), 354-371.</w:t>
      </w:r>
    </w:p>
  </w:footnote>
  <w:footnote w:id="90">
    <w:p w14:paraId="79DB1B7E" w14:textId="6BA4A3DE" w:rsidR="00225DE7" w:rsidRPr="007954C3" w:rsidRDefault="00225DE7" w:rsidP="007954C3">
      <w:pPr>
        <w:pStyle w:val="FootnoteText"/>
        <w:jc w:val="both"/>
        <w:rPr>
          <w:sz w:val="20"/>
          <w:szCs w:val="20"/>
        </w:rPr>
      </w:pPr>
      <w:r>
        <w:rPr>
          <w:rStyle w:val="FootnoteReference"/>
        </w:rPr>
        <w:footnoteRef/>
      </w:r>
      <w:r>
        <w:t xml:space="preserve"> </w:t>
      </w:r>
      <w:r>
        <w:rPr>
          <w:sz w:val="20"/>
          <w:szCs w:val="20"/>
        </w:rPr>
        <w:t>So much has been written on the hymnic features of Colossians 1:15-20 that it would be cumbersome to justify this generic convention here in detail.  I simply note the following: linguistic and thematic parallels (“firstborn of creation,” 1:15//“firstborn from the dead,” 1:18; “all things have been created through him and for him,” 1:16//”to reconcile all things through him to himself”, 1:20; “he is before all things,” 1:17// “so that he might be first in all things,” 1.18; “who is the image of the invisible God,” 1:15// “who is the beginning,” 1:18).</w:t>
      </w:r>
    </w:p>
  </w:footnote>
  <w:footnote w:id="91">
    <w:p w14:paraId="5E81C22D" w14:textId="26086B6A" w:rsidR="00225DE7" w:rsidRPr="00001CC5" w:rsidRDefault="00225DE7" w:rsidP="00001CC5">
      <w:pPr>
        <w:pStyle w:val="FootnoteText"/>
        <w:jc w:val="both"/>
        <w:rPr>
          <w:sz w:val="20"/>
          <w:szCs w:val="20"/>
        </w:rPr>
      </w:pPr>
      <w:r>
        <w:rPr>
          <w:rStyle w:val="FootnoteReference"/>
        </w:rPr>
        <w:footnoteRef/>
      </w:r>
      <w:r>
        <w:t xml:space="preserve"> </w:t>
      </w:r>
      <w:r>
        <w:rPr>
          <w:sz w:val="20"/>
          <w:szCs w:val="20"/>
        </w:rPr>
        <w:t>With respect to Philippians 2:5-11, Collins, “The Psalms the Origins of Christology,”123 has suggested, though without reference to any examination of kingship ideology, that “Paul adapted the form of the Greek prose hymn in order to instruct the Philippians in cultural terms familiar to them.”</w:t>
      </w:r>
    </w:p>
  </w:footnote>
  <w:footnote w:id="92">
    <w:p w14:paraId="0BB128B2" w14:textId="430D9F87" w:rsidR="00225DE7" w:rsidRPr="006E7F88" w:rsidRDefault="00225DE7" w:rsidP="009D6BDB">
      <w:pPr>
        <w:pStyle w:val="FootnoteText"/>
        <w:jc w:val="both"/>
        <w:rPr>
          <w:sz w:val="20"/>
          <w:szCs w:val="20"/>
        </w:rPr>
      </w:pPr>
      <w:r>
        <w:rPr>
          <w:rStyle w:val="FootnoteReference"/>
        </w:rPr>
        <w:footnoteRef/>
      </w:r>
      <w:r>
        <w:t xml:space="preserve"> </w:t>
      </w:r>
      <w:r>
        <w:rPr>
          <w:sz w:val="20"/>
          <w:szCs w:val="20"/>
        </w:rPr>
        <w:t>The reference of the hymn as “the son of his love” is frequently missed when the hymn is isolated from its literary context.  This allows for the mistaken insertion of personified “Wisdom” as the subject of the hymn.  See also Seyoon Kim; Dunn, 87; Schweizer, 63-69.</w:t>
      </w:r>
    </w:p>
  </w:footnote>
  <w:footnote w:id="93">
    <w:p w14:paraId="2F207982" w14:textId="7D7EB8D7" w:rsidR="00225DE7" w:rsidRPr="006E7F88" w:rsidRDefault="00225DE7" w:rsidP="006F1543">
      <w:pPr>
        <w:pStyle w:val="FootnoteText"/>
        <w:jc w:val="both"/>
        <w:rPr>
          <w:sz w:val="20"/>
          <w:szCs w:val="20"/>
        </w:rPr>
      </w:pPr>
      <w:r>
        <w:rPr>
          <w:rStyle w:val="FootnoteReference"/>
        </w:rPr>
        <w:footnoteRef/>
      </w:r>
      <w:r>
        <w:t xml:space="preserve"> </w:t>
      </w:r>
      <w:r>
        <w:rPr>
          <w:sz w:val="20"/>
          <w:szCs w:val="20"/>
        </w:rPr>
        <w:t xml:space="preserve">It should not escape the reader’s notice that one of the primary responsibilities of the good king was to deliver and rescue his people from their enemies.  See chapter five. </w:t>
      </w:r>
    </w:p>
  </w:footnote>
  <w:footnote w:id="94">
    <w:p w14:paraId="6E15531E" w14:textId="758A4A3F" w:rsidR="00225DE7" w:rsidRPr="00F34433" w:rsidRDefault="00225DE7" w:rsidP="006F1543">
      <w:pPr>
        <w:pStyle w:val="FootnoteText"/>
        <w:jc w:val="both"/>
        <w:rPr>
          <w:sz w:val="20"/>
          <w:szCs w:val="20"/>
        </w:rPr>
      </w:pPr>
      <w:r>
        <w:rPr>
          <w:rStyle w:val="FootnoteReference"/>
        </w:rPr>
        <w:footnoteRef/>
      </w:r>
      <w:r>
        <w:t xml:space="preserve"> </w:t>
      </w:r>
      <w:r>
        <w:rPr>
          <w:sz w:val="20"/>
          <w:szCs w:val="20"/>
        </w:rPr>
        <w:t xml:space="preserve">Gerald Cooke, “The Israelite King as Son of God,” </w:t>
      </w:r>
      <w:r w:rsidRPr="00AF389E">
        <w:rPr>
          <w:i/>
          <w:iCs/>
          <w:sz w:val="20"/>
          <w:szCs w:val="20"/>
        </w:rPr>
        <w:t>ZAW</w:t>
      </w:r>
      <w:r>
        <w:rPr>
          <w:sz w:val="20"/>
          <w:szCs w:val="20"/>
        </w:rPr>
        <w:t xml:space="preserve"> 73 (1961): 202-225; Trygve N. D. Mettinger, </w:t>
      </w:r>
      <w:r w:rsidRPr="006F1543">
        <w:rPr>
          <w:i/>
          <w:iCs/>
          <w:sz w:val="20"/>
          <w:szCs w:val="20"/>
        </w:rPr>
        <w:t>King and Messiah: The Civil and Sacral Legitimation of the Israelite Kings</w:t>
      </w:r>
      <w:r>
        <w:rPr>
          <w:sz w:val="20"/>
          <w:szCs w:val="20"/>
        </w:rPr>
        <w:t xml:space="preserve"> (Coniectanea Biblica Old Testament 8; Lund: Gleerup, 1976), 259-268; Eaton, </w:t>
      </w:r>
      <w:r w:rsidRPr="009801A9">
        <w:rPr>
          <w:i/>
          <w:iCs/>
          <w:sz w:val="20"/>
          <w:szCs w:val="20"/>
        </w:rPr>
        <w:t>Kingship and the Psalms</w:t>
      </w:r>
      <w:r>
        <w:rPr>
          <w:sz w:val="20"/>
          <w:szCs w:val="20"/>
        </w:rPr>
        <w:t>, 146-149.</w:t>
      </w:r>
    </w:p>
  </w:footnote>
  <w:footnote w:id="95">
    <w:p w14:paraId="1BA2ADFE" w14:textId="74901716" w:rsidR="00225DE7" w:rsidRPr="009A7B35" w:rsidRDefault="00225DE7" w:rsidP="006F1543">
      <w:pPr>
        <w:pStyle w:val="FootnoteText"/>
        <w:jc w:val="both"/>
        <w:rPr>
          <w:sz w:val="20"/>
          <w:szCs w:val="20"/>
        </w:rPr>
      </w:pPr>
      <w:r>
        <w:rPr>
          <w:rStyle w:val="FootnoteReference"/>
        </w:rPr>
        <w:footnoteRef/>
      </w:r>
      <w:r>
        <w:t xml:space="preserve"> </w:t>
      </w:r>
      <w:r>
        <w:rPr>
          <w:sz w:val="20"/>
          <w:szCs w:val="20"/>
        </w:rPr>
        <w:t xml:space="preserve">For more detail, see Christopher A. Beetham, </w:t>
      </w:r>
      <w:r w:rsidRPr="00F34433">
        <w:rPr>
          <w:i/>
          <w:iCs/>
          <w:sz w:val="20"/>
          <w:szCs w:val="20"/>
        </w:rPr>
        <w:t>Echoes of Scripture in the Letter to the Colossians</w:t>
      </w:r>
      <w:r>
        <w:rPr>
          <w:sz w:val="20"/>
          <w:szCs w:val="20"/>
        </w:rPr>
        <w:t xml:space="preserve"> (Biblical Interpretation Series 96; Leiden: Brill, 2008), 97-112.</w:t>
      </w:r>
    </w:p>
  </w:footnote>
  <w:footnote w:id="96">
    <w:p w14:paraId="22F2805E" w14:textId="06656D1D" w:rsidR="00225DE7" w:rsidRPr="003630D5" w:rsidRDefault="00225DE7" w:rsidP="006F1543">
      <w:pPr>
        <w:pStyle w:val="FootnoteText"/>
        <w:jc w:val="both"/>
        <w:rPr>
          <w:sz w:val="20"/>
          <w:szCs w:val="20"/>
        </w:rPr>
      </w:pPr>
      <w:r>
        <w:rPr>
          <w:rStyle w:val="FootnoteReference"/>
        </w:rPr>
        <w:footnoteRef/>
      </w:r>
      <w:r>
        <w:t xml:space="preserve"> </w:t>
      </w:r>
      <w:r>
        <w:rPr>
          <w:sz w:val="20"/>
          <w:szCs w:val="20"/>
        </w:rPr>
        <w:t xml:space="preserve">E.g., see 1 Chron. 17; Jeremiah 33:14-22; Zechariah 6:12-13; </w:t>
      </w:r>
      <w:r w:rsidRPr="00C71EA0">
        <w:rPr>
          <w:i/>
          <w:sz w:val="20"/>
          <w:szCs w:val="20"/>
        </w:rPr>
        <w:t>Pss. Sol.</w:t>
      </w:r>
      <w:r>
        <w:rPr>
          <w:sz w:val="20"/>
          <w:szCs w:val="20"/>
        </w:rPr>
        <w:t xml:space="preserve"> 17.</w:t>
      </w:r>
      <w:r>
        <w:t xml:space="preserve"> </w:t>
      </w:r>
      <w:r>
        <w:rPr>
          <w:sz w:val="20"/>
          <w:szCs w:val="20"/>
        </w:rPr>
        <w:t xml:space="preserve">See William M. Schniedewind, </w:t>
      </w:r>
      <w:r w:rsidRPr="003630D5">
        <w:rPr>
          <w:i/>
          <w:iCs/>
          <w:sz w:val="20"/>
          <w:szCs w:val="20"/>
        </w:rPr>
        <w:t>Society and the Promise to Davi</w:t>
      </w:r>
      <w:r>
        <w:rPr>
          <w:i/>
          <w:iCs/>
          <w:sz w:val="20"/>
          <w:szCs w:val="20"/>
        </w:rPr>
        <w:t xml:space="preserve">d: The Reception History of 2 Samuel 7:1 – 17 </w:t>
      </w:r>
      <w:r>
        <w:rPr>
          <w:iCs/>
          <w:sz w:val="20"/>
          <w:szCs w:val="20"/>
        </w:rPr>
        <w:t>(Oxford: Oxford University Press, 1999); Sam Janse, “</w:t>
      </w:r>
      <w:r w:rsidRPr="006F1543">
        <w:rPr>
          <w:i/>
          <w:iCs/>
          <w:sz w:val="20"/>
          <w:szCs w:val="20"/>
        </w:rPr>
        <w:t>You are my Son</w:t>
      </w:r>
      <w:r>
        <w:rPr>
          <w:i/>
          <w:iCs/>
          <w:sz w:val="20"/>
          <w:szCs w:val="20"/>
        </w:rPr>
        <w:t>”</w:t>
      </w:r>
      <w:r w:rsidRPr="006F1543">
        <w:rPr>
          <w:i/>
          <w:iCs/>
          <w:sz w:val="20"/>
          <w:szCs w:val="20"/>
        </w:rPr>
        <w:t>: The Reception History of Psalm 2 in Early Judaism and the Early Church</w:t>
      </w:r>
      <w:r>
        <w:rPr>
          <w:iCs/>
          <w:sz w:val="20"/>
          <w:szCs w:val="20"/>
        </w:rPr>
        <w:t xml:space="preserve"> (Leuven: Peeters, 2009), 51-75;</w:t>
      </w:r>
      <w:r>
        <w:rPr>
          <w:sz w:val="20"/>
          <w:szCs w:val="20"/>
        </w:rPr>
        <w:t xml:space="preserve"> Fee, </w:t>
      </w:r>
      <w:r w:rsidRPr="00F974E8">
        <w:rPr>
          <w:i/>
          <w:iCs/>
          <w:sz w:val="20"/>
          <w:szCs w:val="20"/>
        </w:rPr>
        <w:t>Pauline Christology</w:t>
      </w:r>
      <w:r>
        <w:rPr>
          <w:sz w:val="20"/>
          <w:szCs w:val="20"/>
        </w:rPr>
        <w:t>, 540-542.</w:t>
      </w:r>
    </w:p>
  </w:footnote>
  <w:footnote w:id="97">
    <w:p w14:paraId="3816D11E" w14:textId="25BCFFAF" w:rsidR="00225DE7" w:rsidRPr="00987C82" w:rsidRDefault="00225DE7" w:rsidP="000D5ACF">
      <w:pPr>
        <w:pStyle w:val="FootnoteText"/>
        <w:jc w:val="both"/>
        <w:rPr>
          <w:sz w:val="20"/>
          <w:szCs w:val="20"/>
        </w:rPr>
      </w:pPr>
      <w:r>
        <w:rPr>
          <w:rStyle w:val="FootnoteReference"/>
        </w:rPr>
        <w:footnoteRef/>
      </w:r>
      <w:r>
        <w:t xml:space="preserve"> </w:t>
      </w:r>
      <w:r>
        <w:rPr>
          <w:sz w:val="20"/>
          <w:szCs w:val="20"/>
        </w:rPr>
        <w:t>Speaking of Ps. 2:1-3, James L. Mays [</w:t>
      </w:r>
      <w:r>
        <w:rPr>
          <w:i/>
          <w:sz w:val="20"/>
          <w:szCs w:val="20"/>
        </w:rPr>
        <w:t>The Lord Reigns: A Theological Handbook to the Psalms</w:t>
      </w:r>
      <w:r>
        <w:rPr>
          <w:sz w:val="20"/>
          <w:szCs w:val="20"/>
        </w:rPr>
        <w:t xml:space="preserve"> (Louisville: Westminster John Knox Press, 1994, 109] states: “The question [of v. 3] gathers up the entire scene of governments and rulers, grasping and consolidating power, working out their destiny in terms of force; and it interprets the machinations of the whole thing theologically as rebellion against the Lord and his Anointed.”</w:t>
      </w:r>
    </w:p>
  </w:footnote>
  <w:footnote w:id="98">
    <w:p w14:paraId="6F7DF424" w14:textId="11EA603F" w:rsidR="00225DE7" w:rsidRPr="00374296" w:rsidRDefault="00225DE7" w:rsidP="000D5ACF">
      <w:pPr>
        <w:pStyle w:val="FootnoteText"/>
        <w:jc w:val="both"/>
        <w:rPr>
          <w:sz w:val="20"/>
          <w:szCs w:val="20"/>
        </w:rPr>
      </w:pPr>
      <w:r>
        <w:rPr>
          <w:rStyle w:val="FootnoteReference"/>
        </w:rPr>
        <w:footnoteRef/>
      </w:r>
      <w:r>
        <w:t xml:space="preserve"> </w:t>
      </w:r>
      <w:r>
        <w:rPr>
          <w:sz w:val="20"/>
          <w:szCs w:val="20"/>
        </w:rPr>
        <w:t xml:space="preserve">On Psalm 2 as reflecting an enthronement liturgy, see Mowinckel, </w:t>
      </w:r>
      <w:r w:rsidRPr="00374296">
        <w:rPr>
          <w:i/>
          <w:iCs/>
          <w:sz w:val="20"/>
          <w:szCs w:val="20"/>
        </w:rPr>
        <w:t>He That Cometh</w:t>
      </w:r>
      <w:r>
        <w:rPr>
          <w:sz w:val="20"/>
          <w:szCs w:val="20"/>
        </w:rPr>
        <w:t xml:space="preserve">, 67; Hamilton, </w:t>
      </w:r>
      <w:r w:rsidRPr="00374296">
        <w:rPr>
          <w:i/>
          <w:iCs/>
          <w:sz w:val="20"/>
          <w:szCs w:val="20"/>
        </w:rPr>
        <w:t xml:space="preserve">The </w:t>
      </w:r>
      <w:r>
        <w:rPr>
          <w:i/>
          <w:iCs/>
          <w:sz w:val="20"/>
          <w:szCs w:val="20"/>
        </w:rPr>
        <w:t>Body Royal</w:t>
      </w:r>
      <w:r>
        <w:rPr>
          <w:sz w:val="20"/>
          <w:szCs w:val="20"/>
        </w:rPr>
        <w:t xml:space="preserve">, 60. On the reception history of Psalm 2, see </w:t>
      </w:r>
      <w:r w:rsidRPr="00B668B3">
        <w:rPr>
          <w:i/>
          <w:iCs/>
          <w:sz w:val="20"/>
          <w:szCs w:val="20"/>
        </w:rPr>
        <w:t>1 Enoch</w:t>
      </w:r>
      <w:r>
        <w:rPr>
          <w:sz w:val="20"/>
          <w:szCs w:val="20"/>
        </w:rPr>
        <w:t xml:space="preserve"> 48:4, 10; Acts 4:26. Also, see Paul Maiberger, “Das Verständnis von Psalm 2 in der Septuaginta, im Targum, in Qumran, im frühen Judentum und im Neuen Testament,” in </w:t>
      </w:r>
      <w:r w:rsidRPr="00374296">
        <w:rPr>
          <w:i/>
          <w:iCs/>
          <w:sz w:val="20"/>
          <w:szCs w:val="20"/>
        </w:rPr>
        <w:t>Beiträge zur Psalmenforschung. Psalm 2 und 22</w:t>
      </w:r>
      <w:r>
        <w:rPr>
          <w:sz w:val="20"/>
          <w:szCs w:val="20"/>
        </w:rPr>
        <w:t xml:space="preserve"> (ed. Josef Schreiner; Forschung zur Bibel; Würzburg; Echter, 1988), 85-151.</w:t>
      </w:r>
    </w:p>
  </w:footnote>
  <w:footnote w:id="99">
    <w:p w14:paraId="3CF21879" w14:textId="25F37BF9" w:rsidR="00225DE7" w:rsidRPr="00F974E8" w:rsidRDefault="00225DE7" w:rsidP="000D5ACF">
      <w:pPr>
        <w:pStyle w:val="FootnoteText"/>
        <w:jc w:val="both"/>
        <w:rPr>
          <w:sz w:val="20"/>
          <w:szCs w:val="20"/>
        </w:rPr>
      </w:pPr>
      <w:r>
        <w:rPr>
          <w:rStyle w:val="FootnoteReference"/>
        </w:rPr>
        <w:footnoteRef/>
      </w:r>
      <w:r>
        <w:t xml:space="preserve"> </w:t>
      </w:r>
      <w:r>
        <w:rPr>
          <w:sz w:val="20"/>
          <w:szCs w:val="20"/>
        </w:rPr>
        <w:t>Compare with Paul’s statement regarding the saints who have been qualified “for a share of the inheritance” (</w:t>
      </w:r>
      <w:r>
        <w:rPr>
          <w:rFonts w:ascii="Gentium Plus" w:hAnsi="Gentium Plus"/>
          <w:sz w:val="20"/>
          <w:szCs w:val="20"/>
          <w:lang w:val="el-GR"/>
        </w:rPr>
        <w:t>εἰς τὴν μερίδα τοῦ κλήρου</w:t>
      </w:r>
      <w:r>
        <w:rPr>
          <w:sz w:val="20"/>
          <w:szCs w:val="20"/>
        </w:rPr>
        <w:t>, 1:12).</w:t>
      </w:r>
    </w:p>
  </w:footnote>
  <w:footnote w:id="100">
    <w:p w14:paraId="59471DED" w14:textId="3D318816" w:rsidR="00225DE7" w:rsidRPr="009D6BDB" w:rsidRDefault="00225DE7" w:rsidP="000D5ACF">
      <w:pPr>
        <w:pStyle w:val="FootnoteText"/>
        <w:jc w:val="both"/>
        <w:rPr>
          <w:sz w:val="20"/>
          <w:szCs w:val="20"/>
        </w:rPr>
      </w:pPr>
      <w:r>
        <w:rPr>
          <w:rStyle w:val="FootnoteReference"/>
        </w:rPr>
        <w:footnoteRef/>
      </w:r>
      <w:r>
        <w:t xml:space="preserve"> </w:t>
      </w:r>
      <w:r>
        <w:rPr>
          <w:sz w:val="20"/>
          <w:szCs w:val="20"/>
        </w:rPr>
        <w:t xml:space="preserve">So Collins and Collins, </w:t>
      </w:r>
      <w:r w:rsidRPr="009D6BDB">
        <w:rPr>
          <w:i/>
          <w:iCs/>
          <w:sz w:val="20"/>
          <w:szCs w:val="20"/>
        </w:rPr>
        <w:t>King and Messiah as Son of God</w:t>
      </w:r>
      <w:r>
        <w:rPr>
          <w:sz w:val="20"/>
          <w:szCs w:val="20"/>
        </w:rPr>
        <w:t xml:space="preserve">, 22-24. Mays, </w:t>
      </w:r>
      <w:r w:rsidRPr="004951D0">
        <w:rPr>
          <w:i/>
          <w:iCs/>
          <w:sz w:val="20"/>
          <w:szCs w:val="20"/>
        </w:rPr>
        <w:t>The Lord Reigns</w:t>
      </w:r>
      <w:r>
        <w:rPr>
          <w:sz w:val="20"/>
          <w:szCs w:val="20"/>
        </w:rPr>
        <w:t>, 112, says that when “the king was named ‘son of God,’ the title was a confession of faith that the king was the representative and agent of the deity in such unity and coherence that only the term ‘son’ could display the correspondence and claims between the two.”</w:t>
      </w:r>
    </w:p>
  </w:footnote>
  <w:footnote w:id="101">
    <w:p w14:paraId="4F43AF7E" w14:textId="66C0E42B" w:rsidR="00225DE7" w:rsidRPr="000D5ACF" w:rsidRDefault="00225DE7" w:rsidP="000D5ACF">
      <w:pPr>
        <w:pStyle w:val="FootnoteText"/>
        <w:jc w:val="both"/>
        <w:rPr>
          <w:sz w:val="20"/>
          <w:szCs w:val="20"/>
        </w:rPr>
      </w:pPr>
      <w:r>
        <w:rPr>
          <w:rStyle w:val="FootnoteReference"/>
        </w:rPr>
        <w:footnoteRef/>
      </w:r>
      <w:r>
        <w:t xml:space="preserve"> </w:t>
      </w:r>
      <w:r>
        <w:rPr>
          <w:sz w:val="20"/>
          <w:szCs w:val="20"/>
        </w:rPr>
        <w:t xml:space="preserve">That the royal son of God is entirely dependent upon God in Psalm 2 is rightly emphasized by Jamie A. Grant, </w:t>
      </w:r>
      <w:r w:rsidRPr="000D5ACF">
        <w:rPr>
          <w:i/>
          <w:iCs/>
          <w:sz w:val="20"/>
          <w:szCs w:val="20"/>
        </w:rPr>
        <w:t>The King as Exemplar: The Function of Deuteronomy’s Kingship Law in the Shaping of the Book of Psalms</w:t>
      </w:r>
      <w:r>
        <w:rPr>
          <w:sz w:val="20"/>
          <w:szCs w:val="20"/>
        </w:rPr>
        <w:t xml:space="preserve"> (SBL 17; Atlanta: Society of Biblical Literature, 2004), 58-60.</w:t>
      </w:r>
    </w:p>
  </w:footnote>
  <w:footnote w:id="102">
    <w:p w14:paraId="087107B9" w14:textId="3FD46182" w:rsidR="00225DE7" w:rsidRPr="001671F0" w:rsidRDefault="00225DE7" w:rsidP="001671F0">
      <w:pPr>
        <w:pStyle w:val="FootnoteText"/>
        <w:jc w:val="both"/>
        <w:rPr>
          <w:sz w:val="20"/>
          <w:szCs w:val="20"/>
        </w:rPr>
      </w:pPr>
      <w:r>
        <w:rPr>
          <w:rStyle w:val="FootnoteReference"/>
        </w:rPr>
        <w:footnoteRef/>
      </w:r>
      <w:r>
        <w:t xml:space="preserve"> </w:t>
      </w:r>
      <w:r>
        <w:rPr>
          <w:sz w:val="20"/>
          <w:szCs w:val="20"/>
        </w:rPr>
        <w:t xml:space="preserve">The religious context most often proposed for understanding 1:15a is Hellenistic Jewish speculation upon personified Wisdom or a Logos/heavenly man figure. See Ronald Cox, </w:t>
      </w:r>
      <w:r w:rsidRPr="007E0E74">
        <w:rPr>
          <w:i/>
          <w:iCs/>
          <w:sz w:val="20"/>
          <w:szCs w:val="20"/>
        </w:rPr>
        <w:t>By the Same Word: Creation and Salvation in Hellenistic Judaism and Early Christianity</w:t>
      </w:r>
      <w:r>
        <w:rPr>
          <w:sz w:val="20"/>
          <w:szCs w:val="20"/>
        </w:rPr>
        <w:t xml:space="preserve"> (BZNW 145; Berlin: Walter de Gruyter, 2007), 172-173.  E.g., “She [i.e., Wisdom] is…an image of his goodness” (</w:t>
      </w:r>
      <w:r>
        <w:rPr>
          <w:rFonts w:ascii="Gentium Plus" w:hAnsi="Gentium Plus"/>
          <w:sz w:val="20"/>
          <w:szCs w:val="20"/>
          <w:lang w:val="el-GR"/>
        </w:rPr>
        <w:t>εἰκὼν τῆς ἀγαθότητος αὐτοῦ</w:t>
      </w:r>
      <w:r>
        <w:rPr>
          <w:sz w:val="20"/>
          <w:szCs w:val="20"/>
        </w:rPr>
        <w:t>, Wisdom of Solomon 7:26). Philo says that the Logos is “…the man after God’s image” (</w:t>
      </w:r>
      <w:r>
        <w:rPr>
          <w:rFonts w:ascii="Gentium Plus" w:hAnsi="Gentium Plus"/>
          <w:sz w:val="20"/>
          <w:szCs w:val="20"/>
          <w:lang w:val="el-GR"/>
        </w:rPr>
        <w:t>ὁ κατ ᾽εἰκόνα ἄνθρωπος</w:t>
      </w:r>
      <w:r>
        <w:rPr>
          <w:sz w:val="20"/>
          <w:szCs w:val="20"/>
        </w:rPr>
        <w:t xml:space="preserve">, Philo, </w:t>
      </w:r>
      <w:r w:rsidRPr="001671F0">
        <w:rPr>
          <w:i/>
          <w:iCs/>
          <w:sz w:val="20"/>
          <w:szCs w:val="20"/>
        </w:rPr>
        <w:t>Conf</w:t>
      </w:r>
      <w:r>
        <w:rPr>
          <w:sz w:val="20"/>
          <w:szCs w:val="20"/>
        </w:rPr>
        <w:t xml:space="preserve">. 146).  Against this, however, stands the fact that Paul says Christ </w:t>
      </w:r>
      <w:r w:rsidRPr="007E0E74">
        <w:rPr>
          <w:i/>
          <w:iCs/>
          <w:sz w:val="20"/>
          <w:szCs w:val="20"/>
        </w:rPr>
        <w:t>is</w:t>
      </w:r>
      <w:r>
        <w:rPr>
          <w:sz w:val="20"/>
          <w:szCs w:val="20"/>
        </w:rPr>
        <w:t xml:space="preserve"> the image of God and not made according to, or after God’s image.  Further, in Wisdom of Solomon, Wisdom is simply an attribute of God’s goodness. </w:t>
      </w:r>
    </w:p>
  </w:footnote>
  <w:footnote w:id="103">
    <w:p w14:paraId="1E7DBE61" w14:textId="64A147DA" w:rsidR="00225DE7" w:rsidRPr="00BE46EF" w:rsidRDefault="00225DE7">
      <w:pPr>
        <w:pStyle w:val="FootnoteText"/>
        <w:rPr>
          <w:rFonts w:ascii="Cambria" w:hAnsi="Cambria"/>
          <w:sz w:val="20"/>
          <w:szCs w:val="20"/>
        </w:rPr>
      </w:pPr>
      <w:r>
        <w:rPr>
          <w:rStyle w:val="FootnoteReference"/>
        </w:rPr>
        <w:footnoteRef/>
      </w:r>
      <w:r>
        <w:t xml:space="preserve"> </w:t>
      </w:r>
      <w:r>
        <w:rPr>
          <w:sz w:val="20"/>
          <w:szCs w:val="20"/>
        </w:rPr>
        <w:t xml:space="preserve">See BDAG, </w:t>
      </w:r>
      <w:r>
        <w:rPr>
          <w:rFonts w:ascii="Gentium Plus" w:hAnsi="Gentium Plus"/>
          <w:sz w:val="20"/>
          <w:szCs w:val="20"/>
          <w:lang w:val="el-GR"/>
        </w:rPr>
        <w:t>εἰκών</w:t>
      </w:r>
      <w:r>
        <w:rPr>
          <w:rFonts w:ascii="Cambria" w:hAnsi="Cambria"/>
          <w:sz w:val="20"/>
          <w:szCs w:val="20"/>
        </w:rPr>
        <w:t>, 282.</w:t>
      </w:r>
    </w:p>
  </w:footnote>
  <w:footnote w:id="104">
    <w:p w14:paraId="4EE0B564" w14:textId="0128E69E" w:rsidR="00225DE7" w:rsidRPr="00B34A0C" w:rsidRDefault="00225DE7" w:rsidP="00FA325C">
      <w:pPr>
        <w:pStyle w:val="FootnoteText"/>
        <w:jc w:val="both"/>
        <w:rPr>
          <w:sz w:val="20"/>
          <w:szCs w:val="20"/>
        </w:rPr>
      </w:pPr>
      <w:r>
        <w:rPr>
          <w:rStyle w:val="FootnoteReference"/>
        </w:rPr>
        <w:footnoteRef/>
      </w:r>
      <w:r>
        <w:t xml:space="preserve"> </w:t>
      </w:r>
      <w:r>
        <w:rPr>
          <w:sz w:val="20"/>
          <w:szCs w:val="20"/>
        </w:rPr>
        <w:t xml:space="preserve">Seyoon Kim, </w:t>
      </w:r>
      <w:r w:rsidRPr="00B34A0C">
        <w:rPr>
          <w:i/>
          <w:iCs/>
          <w:sz w:val="20"/>
          <w:szCs w:val="20"/>
        </w:rPr>
        <w:t>Paul and the New Perspective</w:t>
      </w:r>
      <w:r>
        <w:rPr>
          <w:sz w:val="20"/>
          <w:szCs w:val="20"/>
        </w:rPr>
        <w:t xml:space="preserve">, 166-167; Nils A. Dahl, “Christ, Creation and the Church,” in </w:t>
      </w:r>
      <w:r w:rsidRPr="008217FB">
        <w:rPr>
          <w:i/>
          <w:iCs/>
          <w:sz w:val="20"/>
          <w:szCs w:val="20"/>
        </w:rPr>
        <w:t>The Background of the New Testament</w:t>
      </w:r>
      <w:r>
        <w:rPr>
          <w:sz w:val="20"/>
          <w:szCs w:val="20"/>
        </w:rPr>
        <w:t>, 432-xx.</w:t>
      </w:r>
    </w:p>
  </w:footnote>
  <w:footnote w:id="105">
    <w:p w14:paraId="19371877" w14:textId="7958898A" w:rsidR="00225DE7" w:rsidRDefault="00225DE7" w:rsidP="00FA325C">
      <w:pPr>
        <w:pStyle w:val="FootnoteText"/>
        <w:jc w:val="both"/>
      </w:pPr>
      <w:r>
        <w:rPr>
          <w:rStyle w:val="FootnoteReference"/>
        </w:rPr>
        <w:footnoteRef/>
      </w:r>
      <w:r>
        <w:t xml:space="preserve"> </w:t>
      </w:r>
      <w:r>
        <w:rPr>
          <w:sz w:val="20"/>
          <w:szCs w:val="20"/>
        </w:rPr>
        <w:t xml:space="preserve">Phyllis A. Bird, “ ‘Male and Female He Created Them’: Gen 1:27b in the Context of the Priestly Account of Creation,” </w:t>
      </w:r>
      <w:r w:rsidRPr="008C5AEF">
        <w:rPr>
          <w:i/>
          <w:iCs/>
          <w:sz w:val="20"/>
          <w:szCs w:val="20"/>
        </w:rPr>
        <w:t>HTR</w:t>
      </w:r>
      <w:r>
        <w:rPr>
          <w:sz w:val="20"/>
          <w:szCs w:val="20"/>
        </w:rPr>
        <w:t xml:space="preserve"> 74 (1981): 129-159, here, 137-138.</w:t>
      </w:r>
    </w:p>
  </w:footnote>
  <w:footnote w:id="106">
    <w:p w14:paraId="5C7954B4" w14:textId="72ED1FEA" w:rsidR="00225DE7" w:rsidRPr="00FA325C" w:rsidRDefault="00225DE7" w:rsidP="00FA325C">
      <w:pPr>
        <w:pStyle w:val="FootnoteText"/>
        <w:jc w:val="both"/>
        <w:rPr>
          <w:sz w:val="20"/>
          <w:szCs w:val="20"/>
        </w:rPr>
      </w:pPr>
      <w:r w:rsidRPr="00FA325C">
        <w:rPr>
          <w:rStyle w:val="FootnoteReference"/>
          <w:sz w:val="20"/>
          <w:szCs w:val="20"/>
        </w:rPr>
        <w:footnoteRef/>
      </w:r>
      <w:r w:rsidRPr="00FA325C">
        <w:rPr>
          <w:sz w:val="20"/>
          <w:szCs w:val="20"/>
        </w:rPr>
        <w:t xml:space="preserve"> Phyllis A. Bird, “ ‘Male and Female He Created Them’</w:t>
      </w:r>
      <w:r>
        <w:rPr>
          <w:sz w:val="20"/>
          <w:szCs w:val="20"/>
        </w:rPr>
        <w:t xml:space="preserve"> ”</w:t>
      </w:r>
      <w:r w:rsidRPr="00FA325C">
        <w:rPr>
          <w:sz w:val="20"/>
          <w:szCs w:val="20"/>
        </w:rPr>
        <w:t xml:space="preserve">, 139-141. Shalmanesar the Assyrian king, after conquering a new land, fashions an image, which he equates with his image as a representation of his </w:t>
      </w:r>
      <w:r>
        <w:rPr>
          <w:sz w:val="20"/>
          <w:szCs w:val="20"/>
        </w:rPr>
        <w:t xml:space="preserve">glory. </w:t>
      </w:r>
      <w:r w:rsidRPr="00FA325C">
        <w:rPr>
          <w:sz w:val="20"/>
          <w:szCs w:val="20"/>
        </w:rPr>
        <w:t xml:space="preserve">See H. Frankfort, </w:t>
      </w:r>
      <w:r w:rsidRPr="00FA325C">
        <w:rPr>
          <w:i/>
          <w:sz w:val="20"/>
          <w:szCs w:val="20"/>
        </w:rPr>
        <w:t>The Art and Architecture of the Ancient Orient</w:t>
      </w:r>
      <w:r w:rsidRPr="00FA325C">
        <w:rPr>
          <w:sz w:val="20"/>
          <w:szCs w:val="20"/>
        </w:rPr>
        <w:t xml:space="preserve"> (Harmondsworth, Middlesex: Penguin, 1954).</w:t>
      </w:r>
      <w:r>
        <w:rPr>
          <w:sz w:val="20"/>
          <w:szCs w:val="20"/>
        </w:rPr>
        <w:t xml:space="preserve"> Also, </w:t>
      </w:r>
      <w:r w:rsidRPr="00FA325C">
        <w:rPr>
          <w:sz w:val="20"/>
          <w:szCs w:val="20"/>
        </w:rPr>
        <w:t xml:space="preserve">Mark G. Brett, “Earthing the Human in Genesis 1 – 3,” in </w:t>
      </w:r>
      <w:r w:rsidRPr="00FA325C">
        <w:rPr>
          <w:i/>
          <w:sz w:val="20"/>
          <w:szCs w:val="20"/>
        </w:rPr>
        <w:t xml:space="preserve">The Earth Story in Genesis </w:t>
      </w:r>
      <w:r w:rsidRPr="00FA325C">
        <w:rPr>
          <w:sz w:val="20"/>
          <w:szCs w:val="20"/>
        </w:rPr>
        <w:t>(eds. Norman C. Habel &amp; Shirley Wurst)</w:t>
      </w:r>
      <w:r>
        <w:rPr>
          <w:sz w:val="20"/>
          <w:szCs w:val="20"/>
        </w:rPr>
        <w:t>,</w:t>
      </w:r>
      <w:r w:rsidRPr="00FA325C">
        <w:rPr>
          <w:sz w:val="20"/>
          <w:szCs w:val="20"/>
        </w:rPr>
        <w:t xml:space="preserve"> 77</w:t>
      </w:r>
      <w:r>
        <w:rPr>
          <w:sz w:val="20"/>
          <w:szCs w:val="20"/>
        </w:rPr>
        <w:t>; Clines, “The Image of God in Man,” 95-99.</w:t>
      </w:r>
    </w:p>
  </w:footnote>
  <w:footnote w:id="107">
    <w:p w14:paraId="7C2FED98" w14:textId="6A46CAEF" w:rsidR="00225DE7" w:rsidRPr="00491D14" w:rsidRDefault="00225DE7" w:rsidP="00491D14">
      <w:pPr>
        <w:pStyle w:val="FootnoteText"/>
        <w:jc w:val="both"/>
        <w:rPr>
          <w:sz w:val="20"/>
          <w:szCs w:val="20"/>
        </w:rPr>
      </w:pPr>
      <w:r>
        <w:rPr>
          <w:rStyle w:val="FootnoteReference"/>
        </w:rPr>
        <w:footnoteRef/>
      </w:r>
      <w:r>
        <w:t xml:space="preserve"> </w:t>
      </w:r>
      <w:r>
        <w:rPr>
          <w:sz w:val="20"/>
          <w:szCs w:val="20"/>
        </w:rPr>
        <w:t xml:space="preserve">For more examples, see D. J. A. Clines, “The Image of God in Man,” </w:t>
      </w:r>
      <w:r w:rsidRPr="00B710F7">
        <w:rPr>
          <w:i/>
          <w:iCs/>
          <w:sz w:val="20"/>
          <w:szCs w:val="20"/>
        </w:rPr>
        <w:t>TynBul</w:t>
      </w:r>
      <w:r>
        <w:rPr>
          <w:sz w:val="20"/>
          <w:szCs w:val="20"/>
        </w:rPr>
        <w:t xml:space="preserve"> 19 (1968): 55-103, here, 83-85; G. K. Beale, </w:t>
      </w:r>
      <w:r w:rsidRPr="00491D14">
        <w:rPr>
          <w:i/>
          <w:iCs/>
          <w:sz w:val="20"/>
          <w:szCs w:val="20"/>
        </w:rPr>
        <w:t>The Temple and the Church’s Mission: a Biblical theology of the dwelling place of God</w:t>
      </w:r>
      <w:r>
        <w:rPr>
          <w:sz w:val="20"/>
          <w:szCs w:val="20"/>
        </w:rPr>
        <w:t xml:space="preserve"> (NSBT 17; Downers Grove, IL: InterVarsity Press, 2004), 82-84; John Anthony Dunne, “The Regal Status of Christ in the Colossian ‘Christ-Hymn’: A Re-evaluation of the Influence of Wisdom Traditions,” </w:t>
      </w:r>
      <w:r w:rsidRPr="00491D14">
        <w:rPr>
          <w:i/>
          <w:iCs/>
          <w:sz w:val="20"/>
          <w:szCs w:val="20"/>
        </w:rPr>
        <w:t>TrinJ</w:t>
      </w:r>
      <w:r>
        <w:rPr>
          <w:sz w:val="20"/>
          <w:szCs w:val="20"/>
        </w:rPr>
        <w:t xml:space="preserve"> 32 (2011): 3-18, here, 11-13.</w:t>
      </w:r>
    </w:p>
  </w:footnote>
  <w:footnote w:id="108">
    <w:p w14:paraId="24F5F75A" w14:textId="1AF3EDB1" w:rsidR="00225DE7" w:rsidRPr="00A127E8" w:rsidRDefault="00225DE7" w:rsidP="00A127E8">
      <w:pPr>
        <w:pStyle w:val="Default"/>
        <w:rPr>
          <w:rFonts w:ascii="Cambria" w:hAnsi="Cambria"/>
          <w:sz w:val="20"/>
          <w:szCs w:val="20"/>
        </w:rPr>
      </w:pPr>
      <w:r w:rsidRPr="00A127E8">
        <w:rPr>
          <w:rStyle w:val="FootnoteReference"/>
          <w:rFonts w:ascii="Cambria" w:hAnsi="Cambria"/>
          <w:sz w:val="20"/>
          <w:szCs w:val="20"/>
        </w:rPr>
        <w:footnoteRef/>
      </w:r>
      <w:r w:rsidRPr="00A127E8">
        <w:rPr>
          <w:rFonts w:ascii="Cambria" w:hAnsi="Cambria"/>
          <w:sz w:val="20"/>
          <w:szCs w:val="20"/>
        </w:rPr>
        <w:t xml:space="preserve"> </w:t>
      </w:r>
      <w:r w:rsidRPr="00A127E8">
        <w:rPr>
          <w:rFonts w:ascii="Cambria" w:hAnsi="Cambria"/>
          <w:bCs/>
          <w:color w:val="auto"/>
          <w:sz w:val="20"/>
          <w:szCs w:val="20"/>
        </w:rPr>
        <w:t xml:space="preserve">W. G. Lambert, "Three Unpublished Fragments of the Tukulti-Ninurta Epic," </w:t>
      </w:r>
      <w:r w:rsidRPr="00A127E8">
        <w:rPr>
          <w:rFonts w:ascii="Cambria" w:hAnsi="Cambria"/>
          <w:bCs/>
          <w:i/>
          <w:iCs/>
          <w:color w:val="auto"/>
          <w:sz w:val="20"/>
          <w:szCs w:val="20"/>
        </w:rPr>
        <w:t xml:space="preserve">AfO </w:t>
      </w:r>
      <w:r>
        <w:rPr>
          <w:rFonts w:ascii="Cambria" w:hAnsi="Cambria"/>
          <w:bCs/>
          <w:color w:val="auto"/>
          <w:sz w:val="20"/>
          <w:szCs w:val="20"/>
        </w:rPr>
        <w:t>18 (1957):</w:t>
      </w:r>
      <w:r w:rsidRPr="00A127E8">
        <w:rPr>
          <w:rFonts w:ascii="Cambria" w:hAnsi="Cambria"/>
          <w:bCs/>
          <w:color w:val="auto"/>
          <w:sz w:val="20"/>
          <w:szCs w:val="20"/>
        </w:rPr>
        <w:t xml:space="preserve"> 38-51</w:t>
      </w:r>
      <w:r>
        <w:rPr>
          <w:rFonts w:ascii="Cambria" w:hAnsi="Cambria"/>
          <w:bCs/>
          <w:color w:val="auto"/>
          <w:sz w:val="20"/>
          <w:szCs w:val="20"/>
        </w:rPr>
        <w:t>.</w:t>
      </w:r>
    </w:p>
  </w:footnote>
  <w:footnote w:id="109">
    <w:p w14:paraId="64C6AD03" w14:textId="053F7480" w:rsidR="00225DE7" w:rsidRPr="00B710F7" w:rsidRDefault="00225DE7" w:rsidP="00B710F7">
      <w:pPr>
        <w:widowControl w:val="0"/>
        <w:autoSpaceDE w:val="0"/>
        <w:autoSpaceDN w:val="0"/>
        <w:adjustRightInd w:val="0"/>
        <w:jc w:val="both"/>
        <w:rPr>
          <w:rFonts w:ascii="Cambria" w:hAnsi="Cambria" w:cs="Times New Roman"/>
          <w:sz w:val="20"/>
          <w:szCs w:val="20"/>
        </w:rPr>
      </w:pPr>
      <w:r>
        <w:rPr>
          <w:rStyle w:val="FootnoteReference"/>
        </w:rPr>
        <w:footnoteRef/>
      </w:r>
      <w:r>
        <w:t xml:space="preserve"> </w:t>
      </w:r>
      <w:r>
        <w:rPr>
          <w:sz w:val="20"/>
          <w:szCs w:val="20"/>
        </w:rPr>
        <w:t xml:space="preserve">Clines, “The Image of God in Man,” 83. Cited from </w:t>
      </w:r>
      <w:r w:rsidRPr="00F81816">
        <w:rPr>
          <w:rFonts w:ascii="Cambria" w:hAnsi="Cambria" w:cs="Times New Roman"/>
          <w:sz w:val="20"/>
          <w:szCs w:val="20"/>
        </w:rPr>
        <w:t xml:space="preserve">R. H. Pfeiffer, </w:t>
      </w:r>
      <w:r w:rsidRPr="00F81816">
        <w:rPr>
          <w:rFonts w:ascii="Cambria" w:hAnsi="Cambria" w:cs="Times New Roman"/>
          <w:i/>
          <w:sz w:val="20"/>
          <w:szCs w:val="20"/>
        </w:rPr>
        <w:t>State Letters of Assyria</w:t>
      </w:r>
      <w:r>
        <w:rPr>
          <w:rFonts w:ascii="Cambria" w:hAnsi="Cambria" w:cs="Times New Roman"/>
          <w:sz w:val="20"/>
          <w:szCs w:val="20"/>
        </w:rPr>
        <w:t xml:space="preserve"> (American Oriental Society;</w:t>
      </w:r>
      <w:r w:rsidRPr="00F81816">
        <w:rPr>
          <w:rFonts w:ascii="Cambria" w:hAnsi="Cambria" w:cs="Times New Roman"/>
          <w:sz w:val="20"/>
          <w:szCs w:val="20"/>
        </w:rPr>
        <w:t xml:space="preserve"> New Haven</w:t>
      </w:r>
      <w:r>
        <w:rPr>
          <w:rFonts w:ascii="Cambria" w:hAnsi="Cambria" w:cs="Times New Roman"/>
          <w:sz w:val="20"/>
          <w:szCs w:val="20"/>
        </w:rPr>
        <w:t xml:space="preserve"> </w:t>
      </w:r>
      <w:r>
        <w:rPr>
          <w:rFonts w:ascii="Times New Roman" w:hAnsi="Times New Roman" w:cs="Times New Roman"/>
          <w:sz w:val="22"/>
          <w:szCs w:val="22"/>
        </w:rPr>
        <w:t>(1935) 9f. (no. 161).</w:t>
      </w:r>
    </w:p>
  </w:footnote>
  <w:footnote w:id="110">
    <w:p w14:paraId="5E9F6877" w14:textId="7B7EE4E7" w:rsidR="00225DE7" w:rsidRPr="0070039D" w:rsidRDefault="00225DE7" w:rsidP="0070039D">
      <w:pPr>
        <w:pStyle w:val="FootnoteText"/>
        <w:jc w:val="both"/>
        <w:rPr>
          <w:i/>
          <w:sz w:val="20"/>
          <w:szCs w:val="20"/>
        </w:rPr>
      </w:pPr>
      <w:r w:rsidRPr="0070039D">
        <w:rPr>
          <w:rStyle w:val="FootnoteReference"/>
          <w:sz w:val="20"/>
          <w:szCs w:val="20"/>
        </w:rPr>
        <w:footnoteRef/>
      </w:r>
      <w:r w:rsidRPr="0070039D">
        <w:rPr>
          <w:sz w:val="20"/>
          <w:szCs w:val="20"/>
        </w:rPr>
        <w:t xml:space="preserve"> Gerhard von Rad, </w:t>
      </w:r>
      <w:r w:rsidRPr="0070039D">
        <w:rPr>
          <w:i/>
          <w:sz w:val="20"/>
          <w:szCs w:val="20"/>
        </w:rPr>
        <w:t>Old Testament Theology</w:t>
      </w:r>
      <w:r w:rsidRPr="0070039D">
        <w:rPr>
          <w:sz w:val="20"/>
          <w:szCs w:val="20"/>
        </w:rPr>
        <w:t xml:space="preserve">. </w:t>
      </w:r>
      <w:r w:rsidRPr="0070039D">
        <w:rPr>
          <w:i/>
          <w:sz w:val="20"/>
          <w:szCs w:val="20"/>
        </w:rPr>
        <w:t>Volume I. The Theology of Israel’s Historical Traditions</w:t>
      </w:r>
      <w:r w:rsidRPr="0070039D">
        <w:rPr>
          <w:sz w:val="20"/>
          <w:szCs w:val="20"/>
        </w:rPr>
        <w:t xml:space="preserve"> (New York: Harper and Row, 1962)</w:t>
      </w:r>
      <w:r>
        <w:rPr>
          <w:sz w:val="20"/>
          <w:szCs w:val="20"/>
        </w:rPr>
        <w:t>,</w:t>
      </w:r>
      <w:r w:rsidRPr="0070039D">
        <w:rPr>
          <w:sz w:val="20"/>
          <w:szCs w:val="20"/>
        </w:rPr>
        <w:t xml:space="preserve"> 146.</w:t>
      </w:r>
    </w:p>
  </w:footnote>
  <w:footnote w:id="111">
    <w:p w14:paraId="46B32E0B" w14:textId="3DB7360E" w:rsidR="00225DE7" w:rsidRPr="00866148" w:rsidRDefault="00225DE7" w:rsidP="00866148">
      <w:pPr>
        <w:pStyle w:val="FootnoteText"/>
        <w:jc w:val="both"/>
        <w:rPr>
          <w:sz w:val="20"/>
          <w:szCs w:val="20"/>
        </w:rPr>
      </w:pPr>
      <w:r>
        <w:rPr>
          <w:rStyle w:val="FootnoteReference"/>
        </w:rPr>
        <w:footnoteRef/>
      </w:r>
      <w:r>
        <w:t xml:space="preserve"> </w:t>
      </w:r>
      <w:r>
        <w:rPr>
          <w:sz w:val="20"/>
          <w:szCs w:val="20"/>
        </w:rPr>
        <w:t xml:space="preserve">On God’s establishment of order in creation as a distinct concern and pattern of Gen. 1:1 – 2:3, see Bird, </w:t>
      </w:r>
      <w:r w:rsidRPr="00FA325C">
        <w:rPr>
          <w:sz w:val="20"/>
          <w:szCs w:val="20"/>
        </w:rPr>
        <w:t>“ ‘Male and Female He Created Them’</w:t>
      </w:r>
      <w:r>
        <w:rPr>
          <w:sz w:val="20"/>
          <w:szCs w:val="20"/>
        </w:rPr>
        <w:t xml:space="preserve"> ”</w:t>
      </w:r>
      <w:r w:rsidRPr="00FA325C">
        <w:rPr>
          <w:sz w:val="20"/>
          <w:szCs w:val="20"/>
        </w:rPr>
        <w:t>,</w:t>
      </w:r>
      <w:r>
        <w:rPr>
          <w:sz w:val="20"/>
          <w:szCs w:val="20"/>
        </w:rPr>
        <w:t xml:space="preserve"> 136-137.</w:t>
      </w:r>
    </w:p>
  </w:footnote>
  <w:footnote w:id="112">
    <w:p w14:paraId="63F6A295" w14:textId="59B7A465" w:rsidR="00225DE7" w:rsidRPr="0070039D" w:rsidRDefault="00225DE7" w:rsidP="0070039D">
      <w:pPr>
        <w:autoSpaceDE w:val="0"/>
        <w:autoSpaceDN w:val="0"/>
        <w:adjustRightInd w:val="0"/>
        <w:jc w:val="both"/>
        <w:rPr>
          <w:rFonts w:ascii="Cambria" w:hAnsi="Cambria"/>
          <w:sz w:val="20"/>
          <w:szCs w:val="20"/>
        </w:rPr>
      </w:pPr>
      <w:r w:rsidRPr="0070039D">
        <w:rPr>
          <w:rStyle w:val="FootnoteReference"/>
          <w:rFonts w:ascii="Cambria" w:hAnsi="Cambria"/>
          <w:sz w:val="20"/>
          <w:szCs w:val="20"/>
        </w:rPr>
        <w:footnoteRef/>
      </w:r>
      <w:r w:rsidRPr="0070039D">
        <w:rPr>
          <w:rFonts w:ascii="Cambria" w:hAnsi="Cambria"/>
          <w:sz w:val="20"/>
          <w:szCs w:val="20"/>
        </w:rPr>
        <w:t xml:space="preserve"> </w:t>
      </w:r>
      <w:r>
        <w:rPr>
          <w:rFonts w:ascii="Cambria" w:hAnsi="Cambria"/>
          <w:sz w:val="20"/>
          <w:szCs w:val="20"/>
        </w:rPr>
        <w:t>E.g., see</w:t>
      </w:r>
      <w:r w:rsidRPr="0070039D">
        <w:rPr>
          <w:rFonts w:ascii="Cambria" w:hAnsi="Cambria"/>
          <w:sz w:val="20"/>
          <w:szCs w:val="20"/>
        </w:rPr>
        <w:t xml:space="preserve"> 1 Kgs. 5:4; 5:30; 9:23; 2 Chr. 8:10. </w:t>
      </w:r>
    </w:p>
  </w:footnote>
  <w:footnote w:id="113">
    <w:p w14:paraId="07C81F93" w14:textId="1C14081A" w:rsidR="00225DE7" w:rsidRPr="0070039D" w:rsidRDefault="00225DE7" w:rsidP="00CA2895">
      <w:pPr>
        <w:pStyle w:val="FootnoteText"/>
        <w:jc w:val="both"/>
        <w:rPr>
          <w:sz w:val="20"/>
          <w:szCs w:val="20"/>
        </w:rPr>
      </w:pPr>
      <w:r w:rsidRPr="0070039D">
        <w:rPr>
          <w:rStyle w:val="FootnoteReference"/>
          <w:sz w:val="20"/>
          <w:szCs w:val="20"/>
        </w:rPr>
        <w:footnoteRef/>
      </w:r>
      <w:r w:rsidRPr="0070039D">
        <w:rPr>
          <w:sz w:val="20"/>
          <w:szCs w:val="20"/>
        </w:rPr>
        <w:t xml:space="preserve"> Note the insightful discussion of Stephen G. Dempster, </w:t>
      </w:r>
      <w:r w:rsidRPr="0070039D">
        <w:rPr>
          <w:i/>
          <w:sz w:val="20"/>
          <w:szCs w:val="20"/>
        </w:rPr>
        <w:t xml:space="preserve">Dominion and Dynasty: A Theology of the Hebrew Bible </w:t>
      </w:r>
      <w:r w:rsidRPr="0070039D">
        <w:rPr>
          <w:sz w:val="20"/>
          <w:szCs w:val="20"/>
        </w:rPr>
        <w:t>(Downers Grove: Intervarsity Press, 2003)</w:t>
      </w:r>
      <w:r>
        <w:rPr>
          <w:sz w:val="20"/>
          <w:szCs w:val="20"/>
        </w:rPr>
        <w:t>,</w:t>
      </w:r>
      <w:r w:rsidRPr="0070039D">
        <w:rPr>
          <w:sz w:val="20"/>
          <w:szCs w:val="20"/>
        </w:rPr>
        <w:t xml:space="preserve"> 59-60. </w:t>
      </w:r>
    </w:p>
  </w:footnote>
  <w:footnote w:id="114">
    <w:p w14:paraId="7F188671" w14:textId="4FDF7E43" w:rsidR="00225DE7" w:rsidRPr="0070039D" w:rsidRDefault="00225DE7" w:rsidP="00CA2895">
      <w:pPr>
        <w:pStyle w:val="FootnoteText"/>
        <w:jc w:val="both"/>
        <w:rPr>
          <w:sz w:val="20"/>
          <w:szCs w:val="20"/>
        </w:rPr>
      </w:pPr>
      <w:r>
        <w:rPr>
          <w:rStyle w:val="FootnoteReference"/>
        </w:rPr>
        <w:footnoteRef/>
      </w:r>
      <w:r>
        <w:t xml:space="preserve"> </w:t>
      </w:r>
      <w:r>
        <w:rPr>
          <w:sz w:val="20"/>
          <w:szCs w:val="20"/>
        </w:rPr>
        <w:t>Compare Ps. 110:2 (“Rule [</w:t>
      </w:r>
      <w:r>
        <w:rPr>
          <w:rFonts w:ascii="Hebpar" w:hAnsi="Hebpar"/>
          <w:sz w:val="20"/>
          <w:szCs w:val="20"/>
        </w:rPr>
        <w:t>hdr</w:t>
      </w:r>
      <w:r>
        <w:rPr>
          <w:sz w:val="20"/>
          <w:szCs w:val="20"/>
        </w:rPr>
        <w:t>] in the midst of your enemies”) with Gen. 1:28 (“…and rule [</w:t>
      </w:r>
      <w:r>
        <w:rPr>
          <w:rFonts w:ascii="Hebpar" w:hAnsi="Hebpar"/>
          <w:sz w:val="20"/>
          <w:szCs w:val="20"/>
        </w:rPr>
        <w:t>wdrw</w:t>
      </w:r>
      <w:r>
        <w:rPr>
          <w:sz w:val="20"/>
          <w:szCs w:val="20"/>
        </w:rPr>
        <w:t xml:space="preserve">] over the fish of the sea and over the birds of the air and over every living thing that moves upon the earth.” See Levenson, </w:t>
      </w:r>
      <w:r w:rsidRPr="00845BA4">
        <w:rPr>
          <w:i/>
          <w:iCs/>
          <w:sz w:val="20"/>
          <w:szCs w:val="20"/>
        </w:rPr>
        <w:t>Creation and the Persistence of Evil</w:t>
      </w:r>
      <w:r>
        <w:rPr>
          <w:sz w:val="20"/>
          <w:szCs w:val="20"/>
        </w:rPr>
        <w:t>, 112-113.</w:t>
      </w:r>
    </w:p>
  </w:footnote>
  <w:footnote w:id="115">
    <w:p w14:paraId="236FFE08" w14:textId="048752E0" w:rsidR="00225DE7" w:rsidRPr="00DC3ECD" w:rsidRDefault="00225DE7" w:rsidP="00CA2895">
      <w:pPr>
        <w:pStyle w:val="FootnoteText"/>
        <w:jc w:val="both"/>
        <w:rPr>
          <w:sz w:val="20"/>
          <w:szCs w:val="20"/>
        </w:rPr>
      </w:pPr>
      <w:r w:rsidRPr="00DC3ECD">
        <w:rPr>
          <w:rStyle w:val="FootnoteReference"/>
          <w:sz w:val="20"/>
          <w:szCs w:val="20"/>
        </w:rPr>
        <w:footnoteRef/>
      </w:r>
      <w:r w:rsidRPr="00DC3ECD">
        <w:rPr>
          <w:sz w:val="20"/>
          <w:szCs w:val="20"/>
        </w:rPr>
        <w:t xml:space="preserve"> That Adam was believed to have been God’s prototypical king is also a theme in Jewish traditions (Sir. 49:16; </w:t>
      </w:r>
      <w:r w:rsidRPr="00DC3ECD">
        <w:rPr>
          <w:i/>
          <w:sz w:val="20"/>
          <w:szCs w:val="20"/>
        </w:rPr>
        <w:t>Jub</w:t>
      </w:r>
      <w:r w:rsidRPr="00DC3ECD">
        <w:rPr>
          <w:sz w:val="20"/>
          <w:szCs w:val="20"/>
        </w:rPr>
        <w:t xml:space="preserve">. 2:14; </w:t>
      </w:r>
      <w:r w:rsidRPr="00DC3ECD">
        <w:rPr>
          <w:i/>
          <w:sz w:val="20"/>
          <w:szCs w:val="20"/>
        </w:rPr>
        <w:t>4 Ez</w:t>
      </w:r>
      <w:r w:rsidRPr="00DC3ECD">
        <w:rPr>
          <w:sz w:val="20"/>
          <w:szCs w:val="20"/>
        </w:rPr>
        <w:t>. 6:53f</w:t>
      </w:r>
      <w:r>
        <w:rPr>
          <w:sz w:val="20"/>
          <w:szCs w:val="20"/>
        </w:rPr>
        <w:t xml:space="preserve">; </w:t>
      </w:r>
      <w:r>
        <w:rPr>
          <w:i/>
          <w:sz w:val="20"/>
          <w:szCs w:val="20"/>
        </w:rPr>
        <w:t>2 Enoch</w:t>
      </w:r>
      <w:r>
        <w:rPr>
          <w:sz w:val="20"/>
          <w:szCs w:val="20"/>
        </w:rPr>
        <w:t xml:space="preserve"> 30:12; Philo, </w:t>
      </w:r>
      <w:r w:rsidRPr="0034753A">
        <w:rPr>
          <w:i/>
          <w:iCs/>
          <w:sz w:val="20"/>
          <w:szCs w:val="20"/>
        </w:rPr>
        <w:t>On the Creation of the World</w:t>
      </w:r>
      <w:r>
        <w:rPr>
          <w:sz w:val="20"/>
          <w:szCs w:val="20"/>
        </w:rPr>
        <w:t xml:space="preserve"> 136-150</w:t>
      </w:r>
      <w:r w:rsidRPr="00DC3ECD">
        <w:rPr>
          <w:sz w:val="20"/>
          <w:szCs w:val="20"/>
        </w:rPr>
        <w:t>)</w:t>
      </w:r>
      <w:r>
        <w:rPr>
          <w:sz w:val="20"/>
          <w:szCs w:val="20"/>
        </w:rPr>
        <w:t>. Cf. R</w:t>
      </w:r>
      <w:r w:rsidRPr="00DC3ECD">
        <w:rPr>
          <w:sz w:val="20"/>
          <w:szCs w:val="20"/>
        </w:rPr>
        <w:t xml:space="preserve">obin Scroggs, </w:t>
      </w:r>
      <w:r w:rsidRPr="00DC3ECD">
        <w:rPr>
          <w:i/>
          <w:sz w:val="20"/>
          <w:szCs w:val="20"/>
        </w:rPr>
        <w:t>The Last Adam: A Study in Pauline Theology</w:t>
      </w:r>
      <w:r w:rsidRPr="00DC3ECD">
        <w:rPr>
          <w:sz w:val="20"/>
          <w:szCs w:val="20"/>
        </w:rPr>
        <w:t xml:space="preserve"> (Philadelphia: Fortress, 1966), 25.</w:t>
      </w:r>
    </w:p>
  </w:footnote>
  <w:footnote w:id="116">
    <w:p w14:paraId="4E29538C" w14:textId="3C7AF30C" w:rsidR="00225DE7" w:rsidRPr="00296230" w:rsidRDefault="00225DE7" w:rsidP="00CA2895">
      <w:pPr>
        <w:jc w:val="both"/>
        <w:rPr>
          <w:bCs/>
          <w:sz w:val="20"/>
          <w:szCs w:val="20"/>
        </w:rPr>
      </w:pPr>
      <w:r w:rsidRPr="00296230">
        <w:rPr>
          <w:rStyle w:val="FootnoteReference"/>
          <w:sz w:val="20"/>
          <w:szCs w:val="20"/>
        </w:rPr>
        <w:footnoteRef/>
      </w:r>
      <w:r w:rsidRPr="00296230">
        <w:rPr>
          <w:sz w:val="20"/>
          <w:szCs w:val="20"/>
        </w:rPr>
        <w:t xml:space="preserve"> </w:t>
      </w:r>
      <w:r w:rsidRPr="00296230">
        <w:rPr>
          <w:bCs/>
          <w:sz w:val="20"/>
          <w:szCs w:val="20"/>
        </w:rPr>
        <w:t xml:space="preserve">This is nicely stated by </w:t>
      </w:r>
      <w:r>
        <w:rPr>
          <w:bCs/>
          <w:sz w:val="20"/>
          <w:szCs w:val="20"/>
        </w:rPr>
        <w:t xml:space="preserve">Paul Niskanen [“The Poetics of Adam: The Creation of </w:t>
      </w:r>
      <w:r>
        <w:rPr>
          <w:rFonts w:ascii="Hebpar" w:hAnsi="Hebpar"/>
          <w:bCs/>
          <w:sz w:val="20"/>
          <w:szCs w:val="20"/>
        </w:rPr>
        <w:t>mda</w:t>
      </w:r>
      <w:r>
        <w:rPr>
          <w:bCs/>
          <w:sz w:val="20"/>
          <w:szCs w:val="20"/>
        </w:rPr>
        <w:t xml:space="preserve"> in the Image of </w:t>
      </w:r>
      <w:r>
        <w:rPr>
          <w:rFonts w:ascii="Hebpar" w:hAnsi="Hebpar"/>
          <w:bCs/>
          <w:sz w:val="20"/>
          <w:szCs w:val="20"/>
        </w:rPr>
        <w:t>myhla</w:t>
      </w:r>
      <w:r>
        <w:rPr>
          <w:rFonts w:ascii="Cambria" w:hAnsi="Cambria"/>
          <w:bCs/>
          <w:sz w:val="20"/>
          <w:szCs w:val="20"/>
        </w:rPr>
        <w:t xml:space="preserve">,” </w:t>
      </w:r>
      <w:r w:rsidRPr="00FE5DDC">
        <w:rPr>
          <w:rFonts w:ascii="Cambria" w:hAnsi="Cambria"/>
          <w:bCs/>
          <w:i/>
          <w:iCs/>
          <w:sz w:val="20"/>
          <w:szCs w:val="20"/>
        </w:rPr>
        <w:t>JBL</w:t>
      </w:r>
      <w:r>
        <w:rPr>
          <w:rFonts w:ascii="Cambria" w:hAnsi="Cambria"/>
          <w:bCs/>
          <w:sz w:val="20"/>
          <w:szCs w:val="20"/>
        </w:rPr>
        <w:t xml:space="preserve"> 128 (2009): 417-436, here,</w:t>
      </w:r>
      <w:r>
        <w:rPr>
          <w:bCs/>
          <w:sz w:val="20"/>
          <w:szCs w:val="20"/>
        </w:rPr>
        <w:t xml:space="preserve"> 432]: </w:t>
      </w:r>
      <w:r w:rsidRPr="00296230">
        <w:rPr>
          <w:bCs/>
          <w:sz w:val="20"/>
          <w:szCs w:val="20"/>
        </w:rPr>
        <w:t>“The context of Gen 1:26-28 speaks quite clearly of dominion; it also speaks quite clearly of the ADAM as male and female and the blessing of fertility.”</w:t>
      </w:r>
      <w:r>
        <w:rPr>
          <w:bCs/>
          <w:sz w:val="20"/>
          <w:szCs w:val="20"/>
        </w:rPr>
        <w:t xml:space="preserve"> See also, </w:t>
      </w:r>
      <w:r>
        <w:rPr>
          <w:sz w:val="20"/>
          <w:szCs w:val="20"/>
        </w:rPr>
        <w:t>Clines, “The Image of God in Man,” 95.</w:t>
      </w:r>
    </w:p>
  </w:footnote>
  <w:footnote w:id="117">
    <w:p w14:paraId="006B86A7" w14:textId="38FC52AE" w:rsidR="00225DE7" w:rsidRPr="00E4195B" w:rsidRDefault="00225DE7" w:rsidP="00515B34">
      <w:pPr>
        <w:pStyle w:val="FootnoteText"/>
        <w:jc w:val="both"/>
        <w:rPr>
          <w:sz w:val="20"/>
          <w:szCs w:val="20"/>
        </w:rPr>
      </w:pPr>
      <w:r>
        <w:rPr>
          <w:rStyle w:val="FootnoteReference"/>
        </w:rPr>
        <w:footnoteRef/>
      </w:r>
      <w:r>
        <w:t xml:space="preserve"> </w:t>
      </w:r>
      <w:r>
        <w:rPr>
          <w:sz w:val="20"/>
          <w:szCs w:val="20"/>
        </w:rPr>
        <w:t>Niskanen, “The Poetics of Adam,” 433.</w:t>
      </w:r>
    </w:p>
  </w:footnote>
  <w:footnote w:id="118">
    <w:p w14:paraId="03747B68" w14:textId="0F46937C" w:rsidR="00225DE7" w:rsidRPr="00F95942" w:rsidRDefault="00225DE7" w:rsidP="00515B34">
      <w:pPr>
        <w:pStyle w:val="FootnoteText"/>
        <w:jc w:val="both"/>
        <w:rPr>
          <w:sz w:val="20"/>
          <w:szCs w:val="20"/>
        </w:rPr>
      </w:pPr>
      <w:r>
        <w:rPr>
          <w:rStyle w:val="FootnoteReference"/>
        </w:rPr>
        <w:footnoteRef/>
      </w:r>
      <w:r>
        <w:t xml:space="preserve"> </w:t>
      </w:r>
      <w:r>
        <w:rPr>
          <w:sz w:val="20"/>
          <w:szCs w:val="20"/>
        </w:rPr>
        <w:t>In Rom. 5:12-21 the language of “rule” and “dominion” and spoken of in relation to Adam and Christ.“</w:t>
      </w:r>
      <w:r>
        <w:t xml:space="preserve"> </w:t>
      </w:r>
      <w:r>
        <w:rPr>
          <w:sz w:val="20"/>
          <w:szCs w:val="20"/>
        </w:rPr>
        <w:t>In 1 Cor. 15:20-28 Adam is spoken of in antithesis to Christ who “hands the kingdom over to God the Father” (v. 24), pacifies God’s enemies (vv. 24b-27), and who is the subject of the royal Psalms 8 and 110.</w:t>
      </w:r>
    </w:p>
  </w:footnote>
  <w:footnote w:id="119">
    <w:p w14:paraId="07D71CCB" w14:textId="345EC512" w:rsidR="00225DE7" w:rsidRPr="00212CF5" w:rsidRDefault="00225DE7" w:rsidP="00515B34">
      <w:pPr>
        <w:pStyle w:val="FootnoteText"/>
        <w:jc w:val="both"/>
        <w:rPr>
          <w:sz w:val="20"/>
          <w:szCs w:val="20"/>
        </w:rPr>
      </w:pPr>
      <w:r>
        <w:rPr>
          <w:rStyle w:val="FootnoteReference"/>
        </w:rPr>
        <w:footnoteRef/>
      </w:r>
      <w:r>
        <w:t xml:space="preserve"> </w:t>
      </w:r>
      <w:r>
        <w:rPr>
          <w:sz w:val="20"/>
          <w:szCs w:val="20"/>
        </w:rPr>
        <w:t xml:space="preserve">Sean M. McDonough, </w:t>
      </w:r>
      <w:r w:rsidRPr="00212CF5">
        <w:rPr>
          <w:i/>
          <w:iCs/>
          <w:sz w:val="20"/>
          <w:szCs w:val="20"/>
        </w:rPr>
        <w:t>Christ as Creator: Origins of a New Testament Doctrine</w:t>
      </w:r>
      <w:r>
        <w:rPr>
          <w:sz w:val="20"/>
          <w:szCs w:val="20"/>
        </w:rPr>
        <w:t xml:space="preserve"> (Oxford: Oxford University Press, 2009), 90. The recent study by Stephanie Lorenzen rightly emphasizes that Paul’s use of “image” is primarily somatic, thus making an allusion to Wisdom unlikely.  See her </w:t>
      </w:r>
      <w:r w:rsidRPr="000D0837">
        <w:rPr>
          <w:i/>
          <w:iCs/>
          <w:sz w:val="20"/>
          <w:szCs w:val="20"/>
        </w:rPr>
        <w:t>Das paulinische Eikon-Konzept: Semantische Analysen zur Sapientia Salomonis, zu Philo und den Paulusbriefen</w:t>
      </w:r>
      <w:r>
        <w:rPr>
          <w:sz w:val="20"/>
          <w:szCs w:val="20"/>
        </w:rPr>
        <w:t xml:space="preserve"> (WUNT 2.250; Tübingen: Mohr-Siebeck, 2008). </w:t>
      </w:r>
    </w:p>
  </w:footnote>
  <w:footnote w:id="120">
    <w:p w14:paraId="348AB10F" w14:textId="73484D9F" w:rsidR="00225DE7" w:rsidRPr="00515B34" w:rsidRDefault="00225DE7" w:rsidP="00515B34">
      <w:pPr>
        <w:pStyle w:val="FootnoteText"/>
        <w:jc w:val="both"/>
        <w:rPr>
          <w:sz w:val="20"/>
          <w:szCs w:val="20"/>
        </w:rPr>
      </w:pPr>
      <w:r>
        <w:rPr>
          <w:rStyle w:val="FootnoteReference"/>
        </w:rPr>
        <w:footnoteRef/>
      </w:r>
      <w:r>
        <w:t xml:space="preserve"> </w:t>
      </w:r>
      <w:r>
        <w:rPr>
          <w:sz w:val="20"/>
          <w:szCs w:val="20"/>
        </w:rPr>
        <w:t>The royal representative function of Christ as the image of God accounts for the fact that he “</w:t>
      </w:r>
      <w:r>
        <w:rPr>
          <w:i/>
          <w:sz w:val="20"/>
          <w:szCs w:val="20"/>
        </w:rPr>
        <w:t>reveals</w:t>
      </w:r>
      <w:r>
        <w:rPr>
          <w:sz w:val="20"/>
          <w:szCs w:val="20"/>
        </w:rPr>
        <w:t xml:space="preserve"> the invisible God” (italics mine).  See Stephen E. Fowl, </w:t>
      </w:r>
      <w:r w:rsidRPr="00515B34">
        <w:rPr>
          <w:i/>
          <w:iCs/>
          <w:sz w:val="20"/>
          <w:szCs w:val="20"/>
        </w:rPr>
        <w:t>The Story of Christ in the Ethics of Paul: An Analysis of the Function of the Hymnic Material in the Pauline Corpus</w:t>
      </w:r>
      <w:r>
        <w:rPr>
          <w:sz w:val="20"/>
          <w:szCs w:val="20"/>
        </w:rPr>
        <w:t xml:space="preserve"> (JSNTSup; Sheffield: Sheffield Academic Press, 1990), 107.</w:t>
      </w:r>
    </w:p>
  </w:footnote>
  <w:footnote w:id="121">
    <w:p w14:paraId="220386B3" w14:textId="2D114B32" w:rsidR="00225DE7" w:rsidRPr="001929FA" w:rsidRDefault="00225DE7" w:rsidP="0033408F">
      <w:pPr>
        <w:pStyle w:val="FootnoteText"/>
        <w:jc w:val="both"/>
        <w:rPr>
          <w:sz w:val="20"/>
          <w:szCs w:val="20"/>
        </w:rPr>
      </w:pPr>
      <w:r>
        <w:rPr>
          <w:rStyle w:val="FootnoteReference"/>
        </w:rPr>
        <w:footnoteRef/>
      </w:r>
      <w:r>
        <w:t xml:space="preserve"> </w:t>
      </w:r>
      <w:r>
        <w:rPr>
          <w:sz w:val="20"/>
          <w:szCs w:val="20"/>
        </w:rPr>
        <w:t xml:space="preserve">Philo does not refer to Wisdom or Logos as </w:t>
      </w:r>
      <w:r w:rsidRPr="0033408F">
        <w:rPr>
          <w:rFonts w:ascii="Gentium Plus" w:hAnsi="Gentium Plus"/>
          <w:bCs/>
          <w:sz w:val="20"/>
          <w:szCs w:val="20"/>
          <w:lang w:val="el-GR"/>
        </w:rPr>
        <w:t>πρωτότοκος</w:t>
      </w:r>
      <w:r>
        <w:rPr>
          <w:sz w:val="20"/>
          <w:szCs w:val="20"/>
        </w:rPr>
        <w:t xml:space="preserve"> but rather as </w:t>
      </w:r>
      <w:r>
        <w:rPr>
          <w:rFonts w:ascii="Gentium Plus" w:hAnsi="Gentium Plus"/>
          <w:sz w:val="20"/>
          <w:szCs w:val="20"/>
          <w:lang w:val="el-GR"/>
        </w:rPr>
        <w:t>πρωτόγονος</w:t>
      </w:r>
      <w:r>
        <w:rPr>
          <w:sz w:val="20"/>
          <w:szCs w:val="20"/>
        </w:rPr>
        <w:t xml:space="preserve"> (</w:t>
      </w:r>
      <w:r>
        <w:rPr>
          <w:i/>
          <w:sz w:val="20"/>
          <w:szCs w:val="20"/>
        </w:rPr>
        <w:t>Somn</w:t>
      </w:r>
      <w:r>
        <w:rPr>
          <w:sz w:val="20"/>
          <w:szCs w:val="20"/>
        </w:rPr>
        <w:t xml:space="preserve"> 1.215; </w:t>
      </w:r>
      <w:r>
        <w:rPr>
          <w:i/>
          <w:sz w:val="20"/>
          <w:szCs w:val="20"/>
        </w:rPr>
        <w:t>Conf</w:t>
      </w:r>
      <w:r>
        <w:rPr>
          <w:sz w:val="20"/>
          <w:szCs w:val="20"/>
        </w:rPr>
        <w:t xml:space="preserve">. 146). I am aware of no specific linguistic parallel to Col. 1:15a in Hellenistic Jewish or Middle Platonic literature.  So Fee, </w:t>
      </w:r>
      <w:r w:rsidRPr="006248E4">
        <w:rPr>
          <w:i/>
          <w:iCs/>
          <w:sz w:val="20"/>
          <w:szCs w:val="20"/>
        </w:rPr>
        <w:t>Pauline Christology</w:t>
      </w:r>
      <w:r>
        <w:rPr>
          <w:sz w:val="20"/>
          <w:szCs w:val="20"/>
        </w:rPr>
        <w:t>, 320-321.</w:t>
      </w:r>
    </w:p>
  </w:footnote>
  <w:footnote w:id="122">
    <w:p w14:paraId="68DECEF0" w14:textId="1A381DAC" w:rsidR="00225DE7" w:rsidRPr="00A25C2C" w:rsidRDefault="00225DE7">
      <w:pPr>
        <w:pStyle w:val="FootnoteText"/>
        <w:rPr>
          <w:sz w:val="20"/>
          <w:szCs w:val="20"/>
        </w:rPr>
      </w:pPr>
      <w:r w:rsidRPr="00A25C2C">
        <w:rPr>
          <w:rStyle w:val="FootnoteReference"/>
          <w:sz w:val="20"/>
          <w:szCs w:val="20"/>
        </w:rPr>
        <w:footnoteRef/>
      </w:r>
      <w:r w:rsidRPr="00A25C2C">
        <w:rPr>
          <w:sz w:val="20"/>
          <w:szCs w:val="20"/>
        </w:rPr>
        <w:t xml:space="preserve"> See especially, </w:t>
      </w:r>
      <w:r w:rsidRPr="00A25C2C">
        <w:rPr>
          <w:bCs/>
          <w:sz w:val="20"/>
          <w:szCs w:val="20"/>
        </w:rPr>
        <w:t>(e.g., Gen. 25:25-34; 49:3; Deut. 21:15-17).</w:t>
      </w:r>
    </w:p>
  </w:footnote>
  <w:footnote w:id="123">
    <w:p w14:paraId="180E5047" w14:textId="118A0C39" w:rsidR="00225DE7" w:rsidRPr="008D615E" w:rsidRDefault="00225DE7" w:rsidP="008D615E">
      <w:pPr>
        <w:pStyle w:val="FootnoteText"/>
        <w:jc w:val="both"/>
        <w:rPr>
          <w:sz w:val="20"/>
          <w:szCs w:val="20"/>
        </w:rPr>
      </w:pPr>
      <w:r>
        <w:rPr>
          <w:rStyle w:val="FootnoteReference"/>
        </w:rPr>
        <w:footnoteRef/>
      </w:r>
      <w:r>
        <w:t xml:space="preserve"> </w:t>
      </w:r>
      <w:r>
        <w:rPr>
          <w:sz w:val="20"/>
          <w:szCs w:val="20"/>
        </w:rPr>
        <w:t xml:space="preserve">The Targum’s expand on the meaning: “Reuben, you are my first-born, my might, and the beginning of my strength.  For you it would have been fitting to take three parts – the birthright, the priesthood, and royalty” (Gen. 49:3, </w:t>
      </w:r>
      <w:r w:rsidRPr="008D615E">
        <w:rPr>
          <w:i/>
          <w:iCs/>
          <w:sz w:val="20"/>
          <w:szCs w:val="20"/>
        </w:rPr>
        <w:t>T. Onq</w:t>
      </w:r>
      <w:r>
        <w:rPr>
          <w:sz w:val="20"/>
          <w:szCs w:val="20"/>
        </w:rPr>
        <w:t xml:space="preserve">.). “Reuben, you are my first-born…you would have been worthy of the birthright, the dignity of the priesthood and the kingship.  But because you sinned, my son, the birthright was given to Joseph, the kingship to Judah, and the priesthood to Levi” (Gen. 49:3, </w:t>
      </w:r>
      <w:r w:rsidRPr="008D615E">
        <w:rPr>
          <w:i/>
          <w:iCs/>
          <w:sz w:val="20"/>
          <w:szCs w:val="20"/>
        </w:rPr>
        <w:t>T. Ps.-Jon</w:t>
      </w:r>
      <w:r>
        <w:rPr>
          <w:sz w:val="20"/>
          <w:szCs w:val="20"/>
        </w:rPr>
        <w:t xml:space="preserve">.).  Quoted from Scott W. Hahn, </w:t>
      </w:r>
      <w:r w:rsidRPr="008D615E">
        <w:rPr>
          <w:i/>
          <w:iCs/>
          <w:sz w:val="20"/>
          <w:szCs w:val="20"/>
        </w:rPr>
        <w:t>Kinship by Covenant: A Canonical Approach to the Fulfillment of God’s Saving Promises</w:t>
      </w:r>
      <w:r>
        <w:rPr>
          <w:sz w:val="20"/>
          <w:szCs w:val="20"/>
        </w:rPr>
        <w:t xml:space="preserve"> (AYBRL; New Haven, CT: Yale University Press, 2009), 137.</w:t>
      </w:r>
    </w:p>
  </w:footnote>
  <w:footnote w:id="124">
    <w:p w14:paraId="39F09438" w14:textId="508733DE" w:rsidR="00225DE7" w:rsidRPr="000A3B57" w:rsidRDefault="00225DE7" w:rsidP="000A3B57">
      <w:pPr>
        <w:pStyle w:val="FootnoteText"/>
        <w:jc w:val="both"/>
        <w:rPr>
          <w:sz w:val="20"/>
          <w:szCs w:val="20"/>
        </w:rPr>
      </w:pPr>
      <w:r>
        <w:rPr>
          <w:rStyle w:val="FootnoteReference"/>
        </w:rPr>
        <w:footnoteRef/>
      </w:r>
      <w:r>
        <w:t xml:space="preserve"> </w:t>
      </w:r>
      <w:r>
        <w:rPr>
          <w:sz w:val="20"/>
          <w:szCs w:val="20"/>
        </w:rPr>
        <w:t xml:space="preserve">On which, see Jon D. Levenson, </w:t>
      </w:r>
      <w:r w:rsidRPr="000A3B57">
        <w:rPr>
          <w:i/>
          <w:iCs/>
          <w:sz w:val="20"/>
          <w:szCs w:val="20"/>
        </w:rPr>
        <w:t>The Death and Resurrection of the Beloved Son: The Transformation of Child Sacrifice in Judaism and Christianity</w:t>
      </w:r>
      <w:r>
        <w:rPr>
          <w:sz w:val="20"/>
          <w:szCs w:val="20"/>
        </w:rPr>
        <w:t xml:space="preserve"> (New Haven, CT: Yale University Press, 1993), 59-60.</w:t>
      </w:r>
      <w:r w:rsidRPr="008C3C69">
        <w:rPr>
          <w:sz w:val="20"/>
          <w:szCs w:val="20"/>
        </w:rPr>
        <w:t xml:space="preserve"> </w:t>
      </w:r>
      <w:r>
        <w:rPr>
          <w:sz w:val="20"/>
          <w:szCs w:val="20"/>
        </w:rPr>
        <w:t xml:space="preserve">J. R. Porter, </w:t>
      </w:r>
      <w:r w:rsidRPr="008C3C69">
        <w:rPr>
          <w:i/>
          <w:iCs/>
          <w:sz w:val="20"/>
          <w:szCs w:val="20"/>
        </w:rPr>
        <w:t>The Extended Family in the Old Testament</w:t>
      </w:r>
      <w:r w:rsidRPr="008C3C69">
        <w:rPr>
          <w:sz w:val="20"/>
          <w:szCs w:val="20"/>
        </w:rPr>
        <w:t xml:space="preserve"> (London: Edutext, 1967), 10: </w:t>
      </w:r>
      <w:r>
        <w:rPr>
          <w:bCs/>
          <w:sz w:val="20"/>
          <w:szCs w:val="20"/>
        </w:rPr>
        <w:t>says</w:t>
      </w:r>
      <w:r w:rsidRPr="008C3C69">
        <w:rPr>
          <w:bCs/>
          <w:sz w:val="20"/>
          <w:szCs w:val="20"/>
        </w:rPr>
        <w:t xml:space="preserve"> the description of the firstborn as his father’s strength </w:t>
      </w:r>
      <w:r>
        <w:rPr>
          <w:bCs/>
          <w:sz w:val="20"/>
          <w:szCs w:val="20"/>
        </w:rPr>
        <w:t>is</w:t>
      </w:r>
      <w:r w:rsidRPr="008C3C69">
        <w:rPr>
          <w:bCs/>
          <w:sz w:val="20"/>
          <w:szCs w:val="20"/>
        </w:rPr>
        <w:t xml:space="preserve"> “almost a technical expression and which means that the son in question was endowed with the fullness of the father’s authority and power.”</w:t>
      </w:r>
    </w:p>
  </w:footnote>
  <w:footnote w:id="125">
    <w:p w14:paraId="24C4E21F" w14:textId="7610FD0E" w:rsidR="00225DE7" w:rsidRPr="000B73FA" w:rsidRDefault="00225DE7" w:rsidP="00EE63DD">
      <w:pPr>
        <w:pStyle w:val="FootnoteText"/>
        <w:jc w:val="both"/>
        <w:rPr>
          <w:sz w:val="20"/>
          <w:szCs w:val="20"/>
        </w:rPr>
      </w:pPr>
      <w:r>
        <w:rPr>
          <w:rStyle w:val="FootnoteReference"/>
        </w:rPr>
        <w:footnoteRef/>
      </w:r>
      <w:r>
        <w:t xml:space="preserve"> </w:t>
      </w:r>
      <w:r>
        <w:rPr>
          <w:sz w:val="20"/>
          <w:szCs w:val="20"/>
        </w:rPr>
        <w:t xml:space="preserve">Some see an allusion to the royal figure of Adam.  See Hermann Ridderbos, </w:t>
      </w:r>
      <w:r w:rsidRPr="000B73FA">
        <w:rPr>
          <w:i/>
          <w:iCs/>
          <w:sz w:val="20"/>
          <w:szCs w:val="20"/>
        </w:rPr>
        <w:t>Paul: An Outline of his Theology</w:t>
      </w:r>
      <w:r>
        <w:rPr>
          <w:sz w:val="20"/>
          <w:szCs w:val="20"/>
        </w:rPr>
        <w:t xml:space="preserve"> (trans. John Richard de Witt; Grand Rapids: Eerdmans, 1975), 81, comments on the possible connection: “It [i.e., the term “firstborn”] does not denote temporal order merely, but order of rank, position of rulership, in which it is easy to discover a reminiscence of the position Adam occupied among all of creation, likewise in virtue of his creation after God’s Image (Gen. 1:28ff).”</w:t>
      </w:r>
    </w:p>
  </w:footnote>
  <w:footnote w:id="126">
    <w:p w14:paraId="3E2560C0" w14:textId="2B77B920" w:rsidR="00225DE7" w:rsidRPr="0033408F" w:rsidRDefault="00225DE7" w:rsidP="001B72E4">
      <w:pPr>
        <w:pStyle w:val="FootnoteText"/>
        <w:jc w:val="both"/>
        <w:rPr>
          <w:rFonts w:ascii="Cambria" w:hAnsi="Cambria"/>
          <w:sz w:val="20"/>
          <w:szCs w:val="20"/>
        </w:rPr>
      </w:pPr>
      <w:r>
        <w:rPr>
          <w:rStyle w:val="FootnoteReference"/>
        </w:rPr>
        <w:footnoteRef/>
      </w:r>
      <w:r>
        <w:t xml:space="preserve"> </w:t>
      </w:r>
      <w:r>
        <w:rPr>
          <w:sz w:val="20"/>
          <w:szCs w:val="20"/>
        </w:rPr>
        <w:t xml:space="preserve">Many include Ps. 88:28 (LXX) as one text among many for understanding Col. 1:15 but very few unpack its meaning.  See, however, McDonough, </w:t>
      </w:r>
      <w:r w:rsidRPr="001B72E4">
        <w:rPr>
          <w:i/>
          <w:iCs/>
          <w:sz w:val="20"/>
          <w:szCs w:val="20"/>
        </w:rPr>
        <w:t>Christ as Creator</w:t>
      </w:r>
      <w:r>
        <w:rPr>
          <w:sz w:val="20"/>
          <w:szCs w:val="20"/>
        </w:rPr>
        <w:t xml:space="preserve">, 89-92; Dunne, “The Regal Status of Christ in the Colossian ‘Christ-Hymn,’” 13-14. It is surprising that after his fine insights into the regal nature of Col. 1:13, Beetham opts for Proverbs 8:22-31 as the context for understanding Col. 1:15b. See Beetham, </w:t>
      </w:r>
      <w:r w:rsidRPr="00476D3F">
        <w:rPr>
          <w:i/>
          <w:iCs/>
          <w:sz w:val="20"/>
          <w:szCs w:val="20"/>
        </w:rPr>
        <w:t>Echoes of Scripture in the Letter to the Colossians</w:t>
      </w:r>
      <w:r>
        <w:rPr>
          <w:sz w:val="20"/>
          <w:szCs w:val="20"/>
        </w:rPr>
        <w:t xml:space="preserve">, xx. McDonough, </w:t>
      </w:r>
      <w:r w:rsidRPr="0033408F">
        <w:rPr>
          <w:i/>
          <w:iCs/>
          <w:sz w:val="20"/>
          <w:szCs w:val="20"/>
        </w:rPr>
        <w:t>Christ as Creator</w:t>
      </w:r>
      <w:r>
        <w:rPr>
          <w:sz w:val="20"/>
          <w:szCs w:val="20"/>
        </w:rPr>
        <w:t xml:space="preserve">, 178, understands Paul to have reasoned backward from Christ’s redemptive work in new creation to his work in creation: </w:t>
      </w:r>
      <w:r w:rsidRPr="0033408F">
        <w:rPr>
          <w:sz w:val="20"/>
          <w:szCs w:val="20"/>
        </w:rPr>
        <w:t xml:space="preserve">“If eschatology forms the basis for proctology, one could argue that the protological </w:t>
      </w:r>
      <w:r w:rsidRPr="0033408F">
        <w:rPr>
          <w:rFonts w:ascii="Gentium Plus" w:hAnsi="Gentium Plus"/>
          <w:bCs/>
          <w:sz w:val="20"/>
          <w:szCs w:val="20"/>
          <w:lang w:val="el-GR"/>
        </w:rPr>
        <w:t xml:space="preserve">πρωτότοκος </w:t>
      </w:r>
      <w:r w:rsidRPr="0033408F">
        <w:rPr>
          <w:rFonts w:ascii="Cambria" w:hAnsi="Cambria"/>
          <w:bCs/>
          <w:sz w:val="20"/>
          <w:szCs w:val="20"/>
          <w:lang w:val="el-GR"/>
        </w:rPr>
        <w:t xml:space="preserve">is derived from the eschatological </w:t>
      </w:r>
      <w:r w:rsidRPr="0033408F">
        <w:rPr>
          <w:rFonts w:ascii="Gentium Plus" w:hAnsi="Gentium Plus"/>
          <w:bCs/>
          <w:sz w:val="20"/>
          <w:szCs w:val="20"/>
          <w:lang w:val="el-GR"/>
        </w:rPr>
        <w:t>πρωτότοκος</w:t>
      </w:r>
      <w:r w:rsidRPr="0033408F">
        <w:rPr>
          <w:rFonts w:ascii="Cambria" w:hAnsi="Cambria"/>
          <w:bCs/>
          <w:sz w:val="20"/>
          <w:szCs w:val="20"/>
          <w:lang w:val="el-GR"/>
        </w:rPr>
        <w:t xml:space="preserve">: because Jesus has become the firstborn of the new creation, it stands to reason he was </w:t>
      </w:r>
      <w:r w:rsidRPr="0033408F">
        <w:rPr>
          <w:rFonts w:ascii="Gentium Plus" w:hAnsi="Gentium Plus"/>
          <w:bCs/>
          <w:sz w:val="20"/>
          <w:szCs w:val="20"/>
          <w:lang w:val="el-GR"/>
        </w:rPr>
        <w:t>πρωτότοκος</w:t>
      </w:r>
      <w:r w:rsidRPr="0033408F">
        <w:rPr>
          <w:rFonts w:ascii="Cambria" w:hAnsi="Cambria"/>
          <w:bCs/>
          <w:sz w:val="20"/>
          <w:szCs w:val="20"/>
          <w:lang w:val="el-GR"/>
        </w:rPr>
        <w:t xml:space="preserve"> of the first creation, with all the rights and </w:t>
      </w:r>
      <w:r>
        <w:rPr>
          <w:rFonts w:ascii="Cambria" w:hAnsi="Cambria"/>
          <w:bCs/>
          <w:sz w:val="20"/>
          <w:szCs w:val="20"/>
          <w:lang w:val="el-GR"/>
        </w:rPr>
        <w:t>privileges appertaining thereto.</w:t>
      </w:r>
      <w:r>
        <w:rPr>
          <w:sz w:val="20"/>
          <w:szCs w:val="20"/>
        </w:rPr>
        <w:t>”</w:t>
      </w:r>
    </w:p>
  </w:footnote>
  <w:footnote w:id="127">
    <w:p w14:paraId="400B4C2D" w14:textId="53AD8A4A" w:rsidR="00225DE7" w:rsidRPr="00F570F3" w:rsidRDefault="00225DE7">
      <w:pPr>
        <w:pStyle w:val="FootnoteText"/>
        <w:rPr>
          <w:sz w:val="20"/>
          <w:szCs w:val="20"/>
        </w:rPr>
      </w:pPr>
      <w:r>
        <w:rPr>
          <w:rStyle w:val="FootnoteReference"/>
        </w:rPr>
        <w:footnoteRef/>
      </w:r>
      <w:r>
        <w:t xml:space="preserve"> </w:t>
      </w:r>
      <w:r>
        <w:rPr>
          <w:sz w:val="20"/>
          <w:szCs w:val="20"/>
        </w:rPr>
        <w:t xml:space="preserve">See my comments on Ps. 88 and the references to the scholarly literature on pp. 21-23. </w:t>
      </w:r>
    </w:p>
  </w:footnote>
  <w:footnote w:id="128">
    <w:p w14:paraId="44BF37F4" w14:textId="0B856F4E" w:rsidR="00225DE7" w:rsidRPr="0099552D" w:rsidRDefault="00225DE7" w:rsidP="0099552D">
      <w:pPr>
        <w:pStyle w:val="FootnoteText"/>
        <w:jc w:val="both"/>
        <w:rPr>
          <w:sz w:val="20"/>
          <w:szCs w:val="20"/>
        </w:rPr>
      </w:pPr>
      <w:r>
        <w:rPr>
          <w:rStyle w:val="FootnoteReference"/>
        </w:rPr>
        <w:footnoteRef/>
      </w:r>
      <w:r>
        <w:t xml:space="preserve"> </w:t>
      </w:r>
      <w:r>
        <w:rPr>
          <w:sz w:val="20"/>
          <w:szCs w:val="20"/>
        </w:rPr>
        <w:t xml:space="preserve">On the relationship between creation and eschatology, see N. A. Dahl, “Christ, Creation and the Church,” in </w:t>
      </w:r>
      <w:r w:rsidRPr="0099552D">
        <w:rPr>
          <w:i/>
          <w:iCs/>
          <w:sz w:val="20"/>
          <w:szCs w:val="20"/>
        </w:rPr>
        <w:t>The Background of the New Testament and Its Eschatology: In Honour of Charles Harold Dodd</w:t>
      </w:r>
      <w:r>
        <w:rPr>
          <w:sz w:val="20"/>
          <w:szCs w:val="20"/>
        </w:rPr>
        <w:t xml:space="preserve"> (eds. W. D Davies and D. Daube; Cambridge: Cambridge University Press, 1956), 422-443.</w:t>
      </w:r>
    </w:p>
  </w:footnote>
  <w:footnote w:id="129">
    <w:p w14:paraId="12EAE9AF" w14:textId="37FE6DCC" w:rsidR="00225DE7" w:rsidRPr="009E487B" w:rsidRDefault="00225DE7" w:rsidP="0099552D">
      <w:pPr>
        <w:pStyle w:val="FootnoteText"/>
        <w:jc w:val="both"/>
        <w:rPr>
          <w:sz w:val="20"/>
          <w:szCs w:val="20"/>
        </w:rPr>
      </w:pPr>
      <w:r w:rsidRPr="009E487B">
        <w:rPr>
          <w:rStyle w:val="FootnoteReference"/>
          <w:sz w:val="20"/>
          <w:szCs w:val="20"/>
        </w:rPr>
        <w:footnoteRef/>
      </w:r>
      <w:r w:rsidRPr="009E487B">
        <w:rPr>
          <w:sz w:val="20"/>
          <w:szCs w:val="20"/>
        </w:rPr>
        <w:t xml:space="preserve"> See also the royal use of </w:t>
      </w:r>
      <w:r w:rsidRPr="009E487B">
        <w:rPr>
          <w:bCs/>
          <w:sz w:val="20"/>
          <w:szCs w:val="20"/>
          <w:lang w:val="el-GR"/>
        </w:rPr>
        <w:t>πρωτότοκος</w:t>
      </w:r>
      <w:r w:rsidRPr="009E487B">
        <w:rPr>
          <w:sz w:val="20"/>
          <w:szCs w:val="20"/>
        </w:rPr>
        <w:t xml:space="preserve"> for Christ in Rev. 1:5</w:t>
      </w:r>
      <w:r>
        <w:rPr>
          <w:sz w:val="20"/>
          <w:szCs w:val="20"/>
        </w:rPr>
        <w:t xml:space="preserve"> (</w:t>
      </w:r>
      <w:r>
        <w:rPr>
          <w:rFonts w:ascii="Gentium Plus" w:hAnsi="Gentium Plus"/>
          <w:sz w:val="20"/>
          <w:szCs w:val="20"/>
          <w:lang w:val="el-GR"/>
        </w:rPr>
        <w:t>ὁ πρωτότοκος τῶν νεκρῶν καὶ ἄρχῶν τῶν βασιλέων τῆς γῆς</w:t>
      </w:r>
      <w:r>
        <w:rPr>
          <w:sz w:val="20"/>
          <w:szCs w:val="20"/>
        </w:rPr>
        <w:t xml:space="preserve">).  Also, the term is employed in Heb. 1:6 in a context where Davidic messianism abounds (e.g., Ps. 2:8 in 1:2; Ps. 2:7 in 1:5; 2 Sam. 7:14 in 1:5b; Ps. 44:7 in 1:8; Ps. 109:1 in 1:13.  See further, Joshua W. Jipp, “The Son’s Entrance into the Heavenly World: The Soteriological Necessity of the Scriptural Catena in Hebrews 1.5-14,” </w:t>
      </w:r>
      <w:r w:rsidRPr="000823E3">
        <w:rPr>
          <w:i/>
          <w:iCs/>
          <w:sz w:val="20"/>
          <w:szCs w:val="20"/>
        </w:rPr>
        <w:t>NTS</w:t>
      </w:r>
      <w:r>
        <w:rPr>
          <w:sz w:val="20"/>
          <w:szCs w:val="20"/>
        </w:rPr>
        <w:t xml:space="preserve"> 56 (2010): 557-575.</w:t>
      </w:r>
    </w:p>
  </w:footnote>
  <w:footnote w:id="130">
    <w:p w14:paraId="1136DB46" w14:textId="625F9DF7" w:rsidR="00225DE7" w:rsidRPr="00312A12" w:rsidRDefault="00225DE7" w:rsidP="0099552D">
      <w:pPr>
        <w:pStyle w:val="FootnoteText"/>
        <w:jc w:val="both"/>
        <w:rPr>
          <w:sz w:val="20"/>
          <w:szCs w:val="20"/>
        </w:rPr>
      </w:pPr>
      <w:r>
        <w:rPr>
          <w:rStyle w:val="FootnoteReference"/>
        </w:rPr>
        <w:footnoteRef/>
      </w:r>
      <w:r>
        <w:t xml:space="preserve"> </w:t>
      </w:r>
      <w:r>
        <w:rPr>
          <w:sz w:val="20"/>
          <w:szCs w:val="20"/>
        </w:rPr>
        <w:t xml:space="preserve">That the entities in 1:16; 2:15 as well as the “elemental principles of the universe” (2:8, 20) are typical of Hellenistic and Jewish cosmological speculation has been argued convincingly by Eduard Schweizer, </w:t>
      </w:r>
      <w:r w:rsidRPr="00312A12">
        <w:rPr>
          <w:i/>
          <w:iCs/>
          <w:sz w:val="20"/>
          <w:szCs w:val="20"/>
        </w:rPr>
        <w:t>JBL</w:t>
      </w:r>
      <w:r>
        <w:rPr>
          <w:sz w:val="20"/>
          <w:szCs w:val="20"/>
        </w:rPr>
        <w:t xml:space="preserve">; Clinton Arnold. </w:t>
      </w:r>
    </w:p>
  </w:footnote>
  <w:footnote w:id="131">
    <w:p w14:paraId="7A6317A5" w14:textId="3E609831" w:rsidR="00225DE7" w:rsidRPr="00DE7CFB" w:rsidRDefault="00225DE7" w:rsidP="0099552D">
      <w:pPr>
        <w:pStyle w:val="FootnoteText"/>
        <w:jc w:val="both"/>
        <w:rPr>
          <w:sz w:val="20"/>
          <w:szCs w:val="20"/>
        </w:rPr>
      </w:pPr>
      <w:r>
        <w:rPr>
          <w:rStyle w:val="FootnoteReference"/>
        </w:rPr>
        <w:footnoteRef/>
      </w:r>
      <w:r>
        <w:t xml:space="preserve"> </w:t>
      </w:r>
      <w:r>
        <w:rPr>
          <w:sz w:val="20"/>
          <w:szCs w:val="20"/>
        </w:rPr>
        <w:t>E.g., compare with Rev. 2:13; 13:2.</w:t>
      </w:r>
    </w:p>
  </w:footnote>
  <w:footnote w:id="132">
    <w:p w14:paraId="7D76EC86" w14:textId="19BD1046" w:rsidR="00225DE7" w:rsidRPr="00962553" w:rsidRDefault="00225DE7" w:rsidP="00962553">
      <w:pPr>
        <w:pStyle w:val="FootnoteText"/>
        <w:jc w:val="both"/>
        <w:rPr>
          <w:sz w:val="20"/>
          <w:szCs w:val="20"/>
        </w:rPr>
      </w:pPr>
      <w:r>
        <w:rPr>
          <w:rStyle w:val="FootnoteReference"/>
        </w:rPr>
        <w:footnoteRef/>
      </w:r>
      <w:r>
        <w:t xml:space="preserve"> </w:t>
      </w:r>
      <w:r>
        <w:rPr>
          <w:sz w:val="20"/>
          <w:szCs w:val="20"/>
        </w:rPr>
        <w:t xml:space="preserve">On the ritualization of shame in the Roman imperial celebration, see Peter Marshall, “ A Metaphor of Social Shame: </w:t>
      </w:r>
      <w:r w:rsidRPr="00962553">
        <w:rPr>
          <w:i/>
          <w:sz w:val="20"/>
          <w:szCs w:val="20"/>
        </w:rPr>
        <w:t>THRIAMBEUEIN</w:t>
      </w:r>
      <w:r>
        <w:rPr>
          <w:sz w:val="20"/>
          <w:szCs w:val="20"/>
        </w:rPr>
        <w:t xml:space="preserve"> in 2 Cor 2:14,” </w:t>
      </w:r>
      <w:r w:rsidRPr="00962553">
        <w:rPr>
          <w:i/>
          <w:iCs/>
          <w:sz w:val="20"/>
          <w:szCs w:val="20"/>
        </w:rPr>
        <w:t>NovT</w:t>
      </w:r>
      <w:r>
        <w:rPr>
          <w:sz w:val="20"/>
          <w:szCs w:val="20"/>
        </w:rPr>
        <w:t xml:space="preserve"> 25 (1983): 302-317.</w:t>
      </w:r>
    </w:p>
  </w:footnote>
  <w:footnote w:id="133">
    <w:p w14:paraId="7A79DA91" w14:textId="17E3746A" w:rsidR="00225DE7" w:rsidRPr="001B72E4" w:rsidRDefault="00225DE7">
      <w:pPr>
        <w:pStyle w:val="FootnoteText"/>
        <w:rPr>
          <w:sz w:val="20"/>
          <w:szCs w:val="20"/>
        </w:rPr>
      </w:pPr>
      <w:r>
        <w:rPr>
          <w:rStyle w:val="FootnoteReference"/>
        </w:rPr>
        <w:footnoteRef/>
      </w:r>
      <w:r>
        <w:t xml:space="preserve"> </w:t>
      </w:r>
      <w:r>
        <w:rPr>
          <w:sz w:val="20"/>
          <w:szCs w:val="20"/>
        </w:rPr>
        <w:t xml:space="preserve">McDonough, </w:t>
      </w:r>
      <w:r w:rsidRPr="001B72E4">
        <w:rPr>
          <w:i/>
          <w:iCs/>
          <w:sz w:val="20"/>
          <w:szCs w:val="20"/>
        </w:rPr>
        <w:t>Christ as Creator</w:t>
      </w:r>
      <w:r>
        <w:rPr>
          <w:sz w:val="20"/>
          <w:szCs w:val="20"/>
        </w:rPr>
        <w:t xml:space="preserve">, 67. </w:t>
      </w:r>
    </w:p>
  </w:footnote>
  <w:footnote w:id="134">
    <w:p w14:paraId="2D192D64" w14:textId="50D31E1C" w:rsidR="00225DE7" w:rsidRPr="00322D94" w:rsidRDefault="00225DE7">
      <w:pPr>
        <w:pStyle w:val="FootnoteText"/>
        <w:rPr>
          <w:sz w:val="20"/>
          <w:szCs w:val="20"/>
        </w:rPr>
      </w:pPr>
      <w:r>
        <w:rPr>
          <w:rStyle w:val="FootnoteReference"/>
        </w:rPr>
        <w:footnoteRef/>
      </w:r>
      <w:r>
        <w:t xml:space="preserve"> </w:t>
      </w:r>
      <w:r>
        <w:rPr>
          <w:sz w:val="20"/>
          <w:szCs w:val="20"/>
        </w:rPr>
        <w:t xml:space="preserve">Justin Martyr read both Psalm 72:17 and 109:3 as witnessing to a pre-existent messiah (see </w:t>
      </w:r>
      <w:r>
        <w:rPr>
          <w:i/>
          <w:sz w:val="20"/>
          <w:szCs w:val="20"/>
        </w:rPr>
        <w:t>Dialogue with Trypho</w:t>
      </w:r>
      <w:r>
        <w:rPr>
          <w:sz w:val="20"/>
          <w:szCs w:val="20"/>
        </w:rPr>
        <w:t xml:space="preserve"> 45.4 and 76.7).</w:t>
      </w:r>
    </w:p>
  </w:footnote>
  <w:footnote w:id="135">
    <w:p w14:paraId="19BED311" w14:textId="7E0C3A43" w:rsidR="00225DE7" w:rsidRPr="00322D94" w:rsidRDefault="00225DE7">
      <w:pPr>
        <w:pStyle w:val="FootnoteText"/>
        <w:rPr>
          <w:sz w:val="20"/>
          <w:szCs w:val="20"/>
        </w:rPr>
      </w:pPr>
      <w:r>
        <w:rPr>
          <w:rStyle w:val="FootnoteReference"/>
        </w:rPr>
        <w:footnoteRef/>
      </w:r>
      <w:r>
        <w:t xml:space="preserve"> </w:t>
      </w:r>
      <w:r>
        <w:rPr>
          <w:sz w:val="20"/>
          <w:szCs w:val="20"/>
        </w:rPr>
        <w:t>See above pp. xx.</w:t>
      </w:r>
    </w:p>
  </w:footnote>
  <w:footnote w:id="136">
    <w:p w14:paraId="433F9A5B" w14:textId="2B797F93" w:rsidR="00225DE7" w:rsidRPr="000B73FA" w:rsidRDefault="00225DE7">
      <w:pPr>
        <w:pStyle w:val="FootnoteText"/>
        <w:rPr>
          <w:sz w:val="20"/>
          <w:szCs w:val="20"/>
        </w:rPr>
      </w:pPr>
      <w:r>
        <w:rPr>
          <w:rStyle w:val="FootnoteReference"/>
        </w:rPr>
        <w:footnoteRef/>
      </w:r>
      <w:r>
        <w:t xml:space="preserve"> </w:t>
      </w:r>
      <w:r>
        <w:rPr>
          <w:sz w:val="20"/>
          <w:szCs w:val="20"/>
        </w:rPr>
        <w:t xml:space="preserve">Schaper, 93-107. See also Collins and Collins, </w:t>
      </w:r>
      <w:r w:rsidRPr="000B73FA">
        <w:rPr>
          <w:i/>
          <w:iCs/>
          <w:sz w:val="20"/>
          <w:szCs w:val="20"/>
        </w:rPr>
        <w:t>King a</w:t>
      </w:r>
      <w:r>
        <w:rPr>
          <w:i/>
          <w:iCs/>
          <w:sz w:val="20"/>
          <w:szCs w:val="20"/>
        </w:rPr>
        <w:t>nd Messiah as</w:t>
      </w:r>
      <w:r w:rsidRPr="000B73FA">
        <w:rPr>
          <w:i/>
          <w:iCs/>
          <w:sz w:val="20"/>
          <w:szCs w:val="20"/>
        </w:rPr>
        <w:t xml:space="preserve"> Son of God</w:t>
      </w:r>
      <w:r>
        <w:rPr>
          <w:iCs/>
          <w:sz w:val="20"/>
          <w:szCs w:val="20"/>
        </w:rPr>
        <w:t>, 58.</w:t>
      </w:r>
    </w:p>
  </w:footnote>
  <w:footnote w:id="137">
    <w:p w14:paraId="499D0751" w14:textId="62A5BC83" w:rsidR="00225DE7" w:rsidRPr="00950B01" w:rsidRDefault="00225DE7">
      <w:pPr>
        <w:pStyle w:val="FootnoteText"/>
        <w:rPr>
          <w:sz w:val="20"/>
          <w:szCs w:val="20"/>
        </w:rPr>
      </w:pPr>
      <w:r>
        <w:rPr>
          <w:rStyle w:val="FootnoteReference"/>
        </w:rPr>
        <w:footnoteRef/>
      </w:r>
      <w:r>
        <w:t xml:space="preserve"> </w:t>
      </w:r>
      <w:r>
        <w:rPr>
          <w:sz w:val="20"/>
          <w:szCs w:val="20"/>
        </w:rPr>
        <w:t xml:space="preserve">See the discussion in Lee, </w:t>
      </w:r>
      <w:r w:rsidRPr="00950B01">
        <w:rPr>
          <w:i/>
          <w:iCs/>
          <w:sz w:val="20"/>
          <w:szCs w:val="20"/>
        </w:rPr>
        <w:t>From Messiah to Preexistent Son</w:t>
      </w:r>
      <w:r>
        <w:rPr>
          <w:sz w:val="20"/>
          <w:szCs w:val="20"/>
        </w:rPr>
        <w:t>, 109.</w:t>
      </w:r>
    </w:p>
  </w:footnote>
  <w:footnote w:id="138">
    <w:p w14:paraId="55E5F5C2" w14:textId="49CF7643" w:rsidR="00225DE7" w:rsidRPr="00995B96" w:rsidRDefault="00225DE7" w:rsidP="00995B96">
      <w:pPr>
        <w:pStyle w:val="FootnoteText"/>
        <w:jc w:val="both"/>
        <w:rPr>
          <w:sz w:val="20"/>
          <w:szCs w:val="20"/>
        </w:rPr>
      </w:pPr>
      <w:r>
        <w:rPr>
          <w:rStyle w:val="FootnoteReference"/>
        </w:rPr>
        <w:footnoteRef/>
      </w:r>
      <w:r>
        <w:t xml:space="preserve"> </w:t>
      </w:r>
      <w:r>
        <w:rPr>
          <w:sz w:val="20"/>
          <w:szCs w:val="20"/>
        </w:rPr>
        <w:t xml:space="preserve">Paul’s statements in 1:17 do indeed bear some </w:t>
      </w:r>
      <w:r w:rsidRPr="001671F0">
        <w:rPr>
          <w:i/>
          <w:sz w:val="20"/>
          <w:szCs w:val="20"/>
        </w:rPr>
        <w:t>general</w:t>
      </w:r>
      <w:r>
        <w:rPr>
          <w:sz w:val="20"/>
          <w:szCs w:val="20"/>
        </w:rPr>
        <w:t xml:space="preserve"> resemblance to Hellenistic philosophical speculation upon the logos. Nevertheless, there are no specific linguistic parallels to 1:17b of which I am aware.  Those advanced by Cox [</w:t>
      </w:r>
      <w:r>
        <w:rPr>
          <w:i/>
          <w:sz w:val="20"/>
          <w:szCs w:val="20"/>
        </w:rPr>
        <w:t>By the Same Word</w:t>
      </w:r>
      <w:r>
        <w:rPr>
          <w:sz w:val="20"/>
          <w:szCs w:val="20"/>
        </w:rPr>
        <w:t xml:space="preserve">, 171], Sir. 43:26; Wis. 8:1; Philo, </w:t>
      </w:r>
      <w:r w:rsidRPr="000A2BA8">
        <w:rPr>
          <w:i/>
          <w:iCs/>
          <w:sz w:val="20"/>
          <w:szCs w:val="20"/>
        </w:rPr>
        <w:t>Her</w:t>
      </w:r>
      <w:r>
        <w:rPr>
          <w:sz w:val="20"/>
          <w:szCs w:val="20"/>
        </w:rPr>
        <w:t xml:space="preserve">. 23; </w:t>
      </w:r>
      <w:r w:rsidRPr="000A2BA8">
        <w:rPr>
          <w:i/>
          <w:iCs/>
          <w:sz w:val="20"/>
          <w:szCs w:val="20"/>
        </w:rPr>
        <w:t>Fug</w:t>
      </w:r>
      <w:r>
        <w:rPr>
          <w:sz w:val="20"/>
          <w:szCs w:val="20"/>
        </w:rPr>
        <w:t xml:space="preserve">. 108-112, are general and unconvincing.  McDonough, </w:t>
      </w:r>
      <w:r w:rsidRPr="00995B96">
        <w:rPr>
          <w:i/>
          <w:iCs/>
          <w:sz w:val="20"/>
          <w:szCs w:val="20"/>
        </w:rPr>
        <w:t>Christ as Creator</w:t>
      </w:r>
      <w:r>
        <w:rPr>
          <w:sz w:val="20"/>
          <w:szCs w:val="20"/>
        </w:rPr>
        <w:t>, 187, is right to insist: “…a terse formula such as ‘in him all things hold together’ only makes sense when it is read within the larger philosophical or religious system within which it is embedded.”  And the broader framework or “religious system” that Paul has established is royal-messianic.</w:t>
      </w:r>
    </w:p>
  </w:footnote>
  <w:footnote w:id="139">
    <w:p w14:paraId="4D6BB179" w14:textId="1C06CE10" w:rsidR="00225DE7" w:rsidRPr="00845BA4" w:rsidRDefault="00225DE7" w:rsidP="00791D7A">
      <w:pPr>
        <w:pStyle w:val="FootnoteText"/>
        <w:jc w:val="both"/>
        <w:rPr>
          <w:sz w:val="20"/>
          <w:szCs w:val="20"/>
        </w:rPr>
      </w:pPr>
      <w:r>
        <w:rPr>
          <w:rStyle w:val="FootnoteReference"/>
        </w:rPr>
        <w:footnoteRef/>
      </w:r>
      <w:r>
        <w:t xml:space="preserve"> </w:t>
      </w:r>
      <w:r>
        <w:rPr>
          <w:sz w:val="20"/>
          <w:szCs w:val="20"/>
        </w:rPr>
        <w:t xml:space="preserve">Levenson, </w:t>
      </w:r>
      <w:r w:rsidRPr="00845BA4">
        <w:rPr>
          <w:i/>
          <w:iCs/>
          <w:sz w:val="20"/>
          <w:szCs w:val="20"/>
        </w:rPr>
        <w:t>Creation and the Persistence of Evil</w:t>
      </w:r>
      <w:r>
        <w:rPr>
          <w:sz w:val="20"/>
          <w:szCs w:val="20"/>
        </w:rPr>
        <w:t xml:space="preserve">, 22-23. McDonough, </w:t>
      </w:r>
      <w:r w:rsidRPr="00791D7A">
        <w:rPr>
          <w:i/>
          <w:iCs/>
          <w:sz w:val="20"/>
          <w:szCs w:val="20"/>
        </w:rPr>
        <w:t>Christ as Creator</w:t>
      </w:r>
      <w:r>
        <w:rPr>
          <w:sz w:val="20"/>
          <w:szCs w:val="20"/>
        </w:rPr>
        <w:t>, 46-64, also discusses the broader relationship between cosmic order and earthly order and how a king is often depicted as the intermediate bridge between heaven and earthly harmony.</w:t>
      </w:r>
    </w:p>
  </w:footnote>
  <w:footnote w:id="140">
    <w:p w14:paraId="4ECC00BB" w14:textId="2307191E" w:rsidR="00225DE7" w:rsidRPr="009B7242" w:rsidRDefault="00225DE7" w:rsidP="005F5699">
      <w:pPr>
        <w:pStyle w:val="FootnoteText"/>
        <w:jc w:val="both"/>
        <w:rPr>
          <w:sz w:val="20"/>
          <w:szCs w:val="20"/>
        </w:rPr>
      </w:pPr>
      <w:r>
        <w:rPr>
          <w:rStyle w:val="FootnoteReference"/>
        </w:rPr>
        <w:footnoteRef/>
      </w:r>
      <w:r>
        <w:t xml:space="preserve"> </w:t>
      </w:r>
      <w:r>
        <w:rPr>
          <w:rFonts w:ascii="Cambria" w:hAnsi="Cambria" w:cs="Times New Roman"/>
          <w:sz w:val="20"/>
          <w:szCs w:val="20"/>
        </w:rPr>
        <w:t xml:space="preserve">E.g., see </w:t>
      </w:r>
      <w:r w:rsidRPr="009B7242">
        <w:rPr>
          <w:rFonts w:ascii="Cambria" w:hAnsi="Cambria" w:cs="Times New Roman"/>
          <w:sz w:val="20"/>
          <w:szCs w:val="20"/>
        </w:rPr>
        <w:t>Diotogenes in Thesleff 72.19-23</w:t>
      </w:r>
      <w:r>
        <w:rPr>
          <w:rFonts w:ascii="Cambria" w:hAnsi="Cambria" w:cs="Times New Roman"/>
          <w:sz w:val="20"/>
          <w:szCs w:val="20"/>
        </w:rPr>
        <w:t xml:space="preserve">.  Many of these texts have been discussed in chapter 2 (“The Law of Christ in Paul and the King as Living Law.”). </w:t>
      </w:r>
    </w:p>
  </w:footnote>
  <w:footnote w:id="141">
    <w:p w14:paraId="797D3D53" w14:textId="0866E122" w:rsidR="00225DE7" w:rsidRPr="005655CE" w:rsidRDefault="00225DE7" w:rsidP="005F5699">
      <w:pPr>
        <w:pStyle w:val="FootnoteText"/>
        <w:jc w:val="both"/>
        <w:rPr>
          <w:sz w:val="20"/>
          <w:szCs w:val="20"/>
        </w:rPr>
      </w:pPr>
      <w:r>
        <w:rPr>
          <w:rStyle w:val="FootnoteReference"/>
        </w:rPr>
        <w:footnoteRef/>
      </w:r>
      <w:r>
        <w:t xml:space="preserve"> </w:t>
      </w:r>
      <w:r>
        <w:rPr>
          <w:sz w:val="20"/>
          <w:szCs w:val="20"/>
        </w:rPr>
        <w:t xml:space="preserve">Erwin R. Goodenough, “The Political Philosophy of Hellenistic Kingship,” </w:t>
      </w:r>
      <w:r>
        <w:rPr>
          <w:i/>
          <w:sz w:val="20"/>
          <w:szCs w:val="20"/>
        </w:rPr>
        <w:t>Yale Classical Studies</w:t>
      </w:r>
      <w:r>
        <w:rPr>
          <w:sz w:val="20"/>
          <w:szCs w:val="20"/>
        </w:rPr>
        <w:t xml:space="preserve"> 1 (1928), 55-102, here, 66-67.</w:t>
      </w:r>
    </w:p>
  </w:footnote>
  <w:footnote w:id="142">
    <w:p w14:paraId="626AB255" w14:textId="0535A230" w:rsidR="00225DE7" w:rsidRPr="005F5699" w:rsidRDefault="00225DE7" w:rsidP="005F5699">
      <w:pPr>
        <w:pStyle w:val="FootnoteText"/>
        <w:jc w:val="both"/>
        <w:rPr>
          <w:sz w:val="20"/>
          <w:szCs w:val="20"/>
        </w:rPr>
      </w:pPr>
      <w:r>
        <w:rPr>
          <w:rStyle w:val="FootnoteReference"/>
        </w:rPr>
        <w:footnoteRef/>
      </w:r>
      <w:r>
        <w:t xml:space="preserve"> </w:t>
      </w:r>
      <w:r>
        <w:rPr>
          <w:sz w:val="20"/>
          <w:szCs w:val="20"/>
        </w:rPr>
        <w:t>Goodenough, “The Political Philosophy of Hellenistic Kingship,” 69.</w:t>
      </w:r>
    </w:p>
  </w:footnote>
  <w:footnote w:id="143">
    <w:p w14:paraId="435404D9" w14:textId="4D3B3EDD" w:rsidR="00225DE7" w:rsidRPr="009A7389" w:rsidRDefault="00225DE7" w:rsidP="009A7389">
      <w:pPr>
        <w:pStyle w:val="FootnoteText"/>
        <w:jc w:val="both"/>
        <w:rPr>
          <w:sz w:val="20"/>
          <w:szCs w:val="20"/>
        </w:rPr>
      </w:pPr>
      <w:r>
        <w:rPr>
          <w:rStyle w:val="FootnoteReference"/>
        </w:rPr>
        <w:footnoteRef/>
      </w:r>
      <w:r>
        <w:t xml:space="preserve"> </w:t>
      </w:r>
      <w:r>
        <w:rPr>
          <w:sz w:val="20"/>
          <w:szCs w:val="20"/>
        </w:rPr>
        <w:t xml:space="preserve">See also Musonius Rufus 64.10-15 [in Cora E Lutz, “M Rufus, ‘The Roman Socrates’,” </w:t>
      </w:r>
      <w:r w:rsidRPr="009A7389">
        <w:rPr>
          <w:i/>
          <w:iCs/>
          <w:sz w:val="20"/>
          <w:szCs w:val="20"/>
        </w:rPr>
        <w:t>YCS</w:t>
      </w:r>
      <w:r>
        <w:rPr>
          <w:sz w:val="20"/>
          <w:szCs w:val="20"/>
        </w:rPr>
        <w:t xml:space="preserve"> 10 (1947): 3-147].</w:t>
      </w:r>
    </w:p>
  </w:footnote>
  <w:footnote w:id="144">
    <w:p w14:paraId="716DD800" w14:textId="77777777" w:rsidR="00225DE7" w:rsidRPr="00940FDF" w:rsidRDefault="00225DE7" w:rsidP="009A7389">
      <w:pPr>
        <w:pStyle w:val="FootnoteText"/>
        <w:jc w:val="both"/>
        <w:rPr>
          <w:sz w:val="20"/>
          <w:szCs w:val="20"/>
        </w:rPr>
      </w:pPr>
      <w:r>
        <w:rPr>
          <w:rStyle w:val="FootnoteReference"/>
        </w:rPr>
        <w:footnoteRef/>
      </w:r>
      <w:r>
        <w:t xml:space="preserve"> </w:t>
      </w:r>
      <w:r w:rsidRPr="00940FDF">
        <w:rPr>
          <w:i/>
          <w:iCs/>
          <w:sz w:val="20"/>
          <w:szCs w:val="20"/>
        </w:rPr>
        <w:t>Documents Illustrating the Reigns of Augustus and Tiberius</w:t>
      </w:r>
      <w:r>
        <w:rPr>
          <w:sz w:val="20"/>
          <w:szCs w:val="20"/>
        </w:rPr>
        <w:t xml:space="preserve"> 98a, lines 4-9.</w:t>
      </w:r>
    </w:p>
  </w:footnote>
  <w:footnote w:id="145">
    <w:p w14:paraId="1E046805" w14:textId="77777777" w:rsidR="00225DE7" w:rsidRPr="00940FDF" w:rsidRDefault="00225DE7" w:rsidP="009A7389">
      <w:pPr>
        <w:pStyle w:val="FootnoteText"/>
        <w:jc w:val="both"/>
        <w:rPr>
          <w:sz w:val="20"/>
          <w:szCs w:val="20"/>
        </w:rPr>
      </w:pPr>
      <w:r>
        <w:rPr>
          <w:rStyle w:val="FootnoteReference"/>
        </w:rPr>
        <w:footnoteRef/>
      </w:r>
      <w:r>
        <w:t xml:space="preserve"> </w:t>
      </w:r>
      <w:r>
        <w:rPr>
          <w:sz w:val="20"/>
          <w:szCs w:val="20"/>
        </w:rPr>
        <w:t>See above xx. See further xxx.</w:t>
      </w:r>
    </w:p>
  </w:footnote>
  <w:footnote w:id="146">
    <w:p w14:paraId="0C470590" w14:textId="67B4B84C" w:rsidR="00225DE7" w:rsidRPr="00AC7133" w:rsidRDefault="00225DE7" w:rsidP="000B3AB8">
      <w:pPr>
        <w:pStyle w:val="FootnoteText"/>
        <w:jc w:val="both"/>
        <w:rPr>
          <w:sz w:val="20"/>
          <w:szCs w:val="20"/>
        </w:rPr>
      </w:pPr>
      <w:r>
        <w:rPr>
          <w:rStyle w:val="FootnoteReference"/>
        </w:rPr>
        <w:footnoteRef/>
      </w:r>
      <w:r>
        <w:t xml:space="preserve"> </w:t>
      </w:r>
      <w:r>
        <w:rPr>
          <w:sz w:val="20"/>
          <w:szCs w:val="20"/>
        </w:rPr>
        <w:t xml:space="preserve">The royal connotations of “gospel” are well-known, whether one emphasizes an Isaianic (see Isa. 40, 52, and 61) or a Roman imperial context. See N. T. Wright, “Paul’s Gospel and Caesar’s Empire,” in </w:t>
      </w:r>
      <w:r w:rsidRPr="00AC7133">
        <w:rPr>
          <w:i/>
          <w:iCs/>
          <w:sz w:val="20"/>
          <w:szCs w:val="20"/>
        </w:rPr>
        <w:t>Paul and Politics: Ekklesia, Israel, Imperium, Interpretation: Essays in Honor of Krister Stendahl</w:t>
      </w:r>
      <w:r>
        <w:rPr>
          <w:sz w:val="20"/>
          <w:szCs w:val="20"/>
        </w:rPr>
        <w:t xml:space="preserve"> (ed. Richard A. Horsley; Harrisburg, PA: Trinity Press International, 2000), 160-184, here, 164-165.</w:t>
      </w:r>
    </w:p>
  </w:footnote>
  <w:footnote w:id="147">
    <w:p w14:paraId="50A9076A" w14:textId="7A3E7532" w:rsidR="00225DE7" w:rsidRPr="00323776" w:rsidRDefault="00225DE7" w:rsidP="00323776">
      <w:pPr>
        <w:pStyle w:val="FootnoteText"/>
        <w:jc w:val="both"/>
        <w:rPr>
          <w:sz w:val="20"/>
          <w:szCs w:val="20"/>
        </w:rPr>
      </w:pPr>
      <w:r>
        <w:rPr>
          <w:rStyle w:val="FootnoteReference"/>
        </w:rPr>
        <w:footnoteRef/>
      </w:r>
      <w:r>
        <w:t xml:space="preserve"> </w:t>
      </w:r>
      <w:r>
        <w:rPr>
          <w:sz w:val="20"/>
          <w:szCs w:val="20"/>
        </w:rPr>
        <w:t xml:space="preserve">Numerous interpreters have noted the echo of Gen. 1:28 in Col. 1:6, 10. Beetham, </w:t>
      </w:r>
      <w:r w:rsidRPr="00323776">
        <w:rPr>
          <w:i/>
          <w:iCs/>
          <w:sz w:val="20"/>
          <w:szCs w:val="20"/>
        </w:rPr>
        <w:t>Echoes of Scripture in the Letter to the Colossians</w:t>
      </w:r>
      <w:r>
        <w:rPr>
          <w:sz w:val="20"/>
          <w:szCs w:val="20"/>
        </w:rPr>
        <w:t xml:space="preserve">, 41-59; McDonough, </w:t>
      </w:r>
      <w:r w:rsidRPr="00323776">
        <w:rPr>
          <w:i/>
          <w:iCs/>
          <w:sz w:val="20"/>
          <w:szCs w:val="20"/>
        </w:rPr>
        <w:t>Christ as Creator</w:t>
      </w:r>
      <w:r>
        <w:rPr>
          <w:sz w:val="20"/>
          <w:szCs w:val="20"/>
        </w:rPr>
        <w:t xml:space="preserve">, 180-182. Fewer have seen its resonance with Roman imperial propaganda.  See, however, Brian Walsh and Sylvia Keesmat, </w:t>
      </w:r>
      <w:r w:rsidRPr="000B3AB8">
        <w:rPr>
          <w:i/>
          <w:iCs/>
          <w:sz w:val="20"/>
          <w:szCs w:val="20"/>
        </w:rPr>
        <w:t>Colossians Remixed</w:t>
      </w:r>
      <w:r>
        <w:rPr>
          <w:sz w:val="20"/>
          <w:szCs w:val="20"/>
        </w:rPr>
        <w:t xml:space="preserve">.  </w:t>
      </w:r>
    </w:p>
  </w:footnote>
  <w:footnote w:id="148">
    <w:p w14:paraId="58E431A3" w14:textId="68FECA94" w:rsidR="00225DE7" w:rsidRPr="005D263A" w:rsidRDefault="00225DE7" w:rsidP="00681E53">
      <w:pPr>
        <w:pStyle w:val="FootnoteText"/>
        <w:jc w:val="both"/>
        <w:rPr>
          <w:sz w:val="20"/>
          <w:szCs w:val="20"/>
        </w:rPr>
      </w:pPr>
      <w:r>
        <w:rPr>
          <w:rStyle w:val="FootnoteReference"/>
        </w:rPr>
        <w:footnoteRef/>
      </w:r>
      <w:r>
        <w:t xml:space="preserve"> </w:t>
      </w:r>
      <w:r>
        <w:rPr>
          <w:sz w:val="20"/>
          <w:szCs w:val="20"/>
        </w:rPr>
        <w:t xml:space="preserve">My emphasis on the metaphor as royal does not exclude the helpfulness of ancient medical physiological understandings of “head” which often employed the metaphor of “head” to speak of it as both ruler and source of health.  See Clinton E. Arnold, “Jesus Christ: ‘Head of the Church’ (Colossians and Ephesians),” in </w:t>
      </w:r>
      <w:r w:rsidRPr="00C33CD8">
        <w:rPr>
          <w:i/>
          <w:iCs/>
          <w:sz w:val="20"/>
          <w:szCs w:val="20"/>
        </w:rPr>
        <w:t>Jesus of Nazareth: Lord and Christ: Essays on the Historical Jesus and New Testament Christology</w:t>
      </w:r>
      <w:r>
        <w:rPr>
          <w:sz w:val="20"/>
          <w:szCs w:val="20"/>
        </w:rPr>
        <w:t xml:space="preserve"> (eds. Joel B. Green and Max Turner; Grand Rapids: Eerdmans, xxxx), 346-366 on 1 Cor. 11:2-16. Fitzmyer, Payne, Scroggs, Grudem etc. </w:t>
      </w:r>
    </w:p>
  </w:footnote>
  <w:footnote w:id="149">
    <w:p w14:paraId="7B47B5CB" w14:textId="10620017" w:rsidR="00225DE7" w:rsidRPr="00B75D97" w:rsidRDefault="00225DE7" w:rsidP="00681E53">
      <w:pPr>
        <w:pStyle w:val="FootnoteText"/>
        <w:jc w:val="both"/>
        <w:rPr>
          <w:sz w:val="20"/>
          <w:szCs w:val="20"/>
        </w:rPr>
      </w:pPr>
      <w:r>
        <w:rPr>
          <w:rStyle w:val="FootnoteReference"/>
        </w:rPr>
        <w:footnoteRef/>
      </w:r>
      <w:r>
        <w:t xml:space="preserve"> </w:t>
      </w:r>
      <w:r>
        <w:rPr>
          <w:sz w:val="20"/>
          <w:szCs w:val="20"/>
        </w:rPr>
        <w:t xml:space="preserve">See, for example, Plato, </w:t>
      </w:r>
      <w:r w:rsidRPr="005F0D96">
        <w:rPr>
          <w:i/>
          <w:iCs/>
          <w:sz w:val="20"/>
          <w:szCs w:val="20"/>
        </w:rPr>
        <w:t>Republic</w:t>
      </w:r>
      <w:r>
        <w:rPr>
          <w:sz w:val="20"/>
          <w:szCs w:val="20"/>
        </w:rPr>
        <w:t xml:space="preserve"> 8.556e; Livy 2. 32.12-33.1; Dionysius of Halicarnassus, </w:t>
      </w:r>
      <w:r w:rsidRPr="00693048">
        <w:rPr>
          <w:i/>
          <w:iCs/>
          <w:sz w:val="20"/>
          <w:szCs w:val="20"/>
        </w:rPr>
        <w:t>Ant. Rom.</w:t>
      </w:r>
      <w:r>
        <w:rPr>
          <w:sz w:val="20"/>
          <w:szCs w:val="20"/>
        </w:rPr>
        <w:t xml:space="preserve"> 6.83.2; Aristotle, </w:t>
      </w:r>
      <w:r w:rsidRPr="00B75D97">
        <w:rPr>
          <w:i/>
          <w:iCs/>
          <w:sz w:val="20"/>
          <w:szCs w:val="20"/>
        </w:rPr>
        <w:t>Politics</w:t>
      </w:r>
      <w:r>
        <w:rPr>
          <w:sz w:val="20"/>
          <w:szCs w:val="20"/>
        </w:rPr>
        <w:t xml:space="preserve"> 3.6.4; Dio Chrysostom, </w:t>
      </w:r>
      <w:r w:rsidRPr="004B4C4D">
        <w:rPr>
          <w:i/>
          <w:iCs/>
          <w:sz w:val="20"/>
          <w:szCs w:val="20"/>
        </w:rPr>
        <w:t>Oration</w:t>
      </w:r>
      <w:r>
        <w:rPr>
          <w:sz w:val="20"/>
          <w:szCs w:val="20"/>
        </w:rPr>
        <w:t xml:space="preserve"> 33.16; 34.10-20; Aelius Aristides, </w:t>
      </w:r>
      <w:r w:rsidRPr="004B4C4D">
        <w:rPr>
          <w:i/>
          <w:iCs/>
          <w:sz w:val="20"/>
          <w:szCs w:val="20"/>
        </w:rPr>
        <w:t>Oration</w:t>
      </w:r>
      <w:r>
        <w:rPr>
          <w:sz w:val="20"/>
          <w:szCs w:val="20"/>
        </w:rPr>
        <w:t xml:space="preserve"> 24.38-39. Also, see Dale B. Martin, </w:t>
      </w:r>
      <w:r w:rsidRPr="004B4C4D">
        <w:rPr>
          <w:i/>
          <w:iCs/>
          <w:sz w:val="20"/>
          <w:szCs w:val="20"/>
        </w:rPr>
        <w:t>The Corinthian Body</w:t>
      </w:r>
      <w:r>
        <w:rPr>
          <w:sz w:val="20"/>
          <w:szCs w:val="20"/>
        </w:rPr>
        <w:t xml:space="preserve"> (New Haven, CT: Yale University Press, 1995), 38-47; and Margaret M. Mitchell, </w:t>
      </w:r>
      <w:r w:rsidRPr="00B75D97">
        <w:rPr>
          <w:i/>
          <w:iCs/>
          <w:sz w:val="20"/>
          <w:szCs w:val="20"/>
        </w:rPr>
        <w:t xml:space="preserve">Paul and the Rhetoric of Reconciliation: An Exegetical </w:t>
      </w:r>
      <w:r>
        <w:rPr>
          <w:i/>
          <w:iCs/>
          <w:sz w:val="20"/>
          <w:szCs w:val="20"/>
        </w:rPr>
        <w:t>Investigation of the Lang</w:t>
      </w:r>
      <w:r w:rsidRPr="00B75D97">
        <w:rPr>
          <w:i/>
          <w:iCs/>
          <w:sz w:val="20"/>
          <w:szCs w:val="20"/>
        </w:rPr>
        <w:t>u</w:t>
      </w:r>
      <w:r>
        <w:rPr>
          <w:i/>
          <w:iCs/>
          <w:sz w:val="20"/>
          <w:szCs w:val="20"/>
        </w:rPr>
        <w:t>a</w:t>
      </w:r>
      <w:r w:rsidRPr="00B75D97">
        <w:rPr>
          <w:i/>
          <w:iCs/>
          <w:sz w:val="20"/>
          <w:szCs w:val="20"/>
        </w:rPr>
        <w:t>ge and Composition of 1 Corinthians</w:t>
      </w:r>
      <w:r>
        <w:rPr>
          <w:iCs/>
          <w:sz w:val="20"/>
          <w:szCs w:val="20"/>
        </w:rPr>
        <w:t xml:space="preserve"> (Louisville: Westminster John Knox Press, 1991), 157-164; Matthias Klinghardt, </w:t>
      </w:r>
      <w:r w:rsidRPr="0023133C">
        <w:rPr>
          <w:i/>
          <w:iCs/>
          <w:sz w:val="20"/>
          <w:szCs w:val="20"/>
        </w:rPr>
        <w:t>Gemeinschaftsmalh und Mahlgemeinschaft: Soziologie und Liturgie Frühchristlicher Mahlfeiern</w:t>
      </w:r>
      <w:r>
        <w:rPr>
          <w:iCs/>
          <w:sz w:val="20"/>
          <w:szCs w:val="20"/>
        </w:rPr>
        <w:t xml:space="preserve"> (Tübingen: Francke Verlag, 1996), 308-315.</w:t>
      </w:r>
    </w:p>
  </w:footnote>
  <w:footnote w:id="150">
    <w:p w14:paraId="26899026" w14:textId="08E26EE1" w:rsidR="00225DE7" w:rsidRPr="00681E53" w:rsidRDefault="00225DE7" w:rsidP="00681E53">
      <w:pPr>
        <w:pStyle w:val="FootnoteText"/>
        <w:jc w:val="both"/>
        <w:rPr>
          <w:sz w:val="20"/>
          <w:szCs w:val="20"/>
        </w:rPr>
      </w:pPr>
      <w:r>
        <w:rPr>
          <w:rStyle w:val="FootnoteReference"/>
        </w:rPr>
        <w:footnoteRef/>
      </w:r>
      <w:r>
        <w:t xml:space="preserve"> </w:t>
      </w:r>
      <w:r>
        <w:rPr>
          <w:sz w:val="20"/>
          <w:szCs w:val="20"/>
        </w:rPr>
        <w:t xml:space="preserve">Thus, a political and royal reading of the metaphor is inherently more likely than one a philosophical-cosmological reading (such as one finds in Plato’s </w:t>
      </w:r>
      <w:r w:rsidRPr="003864C2">
        <w:rPr>
          <w:i/>
          <w:iCs/>
          <w:sz w:val="20"/>
          <w:szCs w:val="20"/>
        </w:rPr>
        <w:t>Timaeus</w:t>
      </w:r>
      <w:r>
        <w:rPr>
          <w:sz w:val="20"/>
          <w:szCs w:val="20"/>
        </w:rPr>
        <w:t xml:space="preserve">) that sees the world as a cosmic body controlled by a ruling heavenly head. E.g., see Lohse, </w:t>
      </w:r>
      <w:r w:rsidRPr="00681E53">
        <w:rPr>
          <w:i/>
          <w:iCs/>
          <w:sz w:val="20"/>
          <w:szCs w:val="20"/>
        </w:rPr>
        <w:t>Colossians and Philemon</w:t>
      </w:r>
      <w:r>
        <w:rPr>
          <w:sz w:val="20"/>
          <w:szCs w:val="20"/>
        </w:rPr>
        <w:t xml:space="preserve">, 44-45; Schweizer, </w:t>
      </w:r>
      <w:r w:rsidRPr="00681E53">
        <w:rPr>
          <w:i/>
          <w:iCs/>
          <w:sz w:val="20"/>
          <w:szCs w:val="20"/>
        </w:rPr>
        <w:t>The Letter to the Colossians</w:t>
      </w:r>
      <w:r>
        <w:rPr>
          <w:sz w:val="20"/>
          <w:szCs w:val="20"/>
        </w:rPr>
        <w:t xml:space="preserve">, 58-59; James D. G. Dunn, “The ‘Body’ in Colossians,” in </w:t>
      </w:r>
      <w:r w:rsidRPr="00C47A2F">
        <w:rPr>
          <w:i/>
          <w:iCs/>
          <w:sz w:val="20"/>
          <w:szCs w:val="20"/>
        </w:rPr>
        <w:t>To Tell the Mystery: Essays on New Testament Eschatology in Honor of Robert H. Gundry</w:t>
      </w:r>
      <w:r>
        <w:rPr>
          <w:sz w:val="20"/>
          <w:szCs w:val="20"/>
        </w:rPr>
        <w:t xml:space="preserve"> (JSNTSup; Sheffield: Sheffield Academic Press, 1997), 163-181, here, 173-175.</w:t>
      </w:r>
      <w:r w:rsidRPr="00C33CD8">
        <w:rPr>
          <w:sz w:val="20"/>
          <w:szCs w:val="20"/>
        </w:rPr>
        <w:t xml:space="preserve"> </w:t>
      </w:r>
      <w:r>
        <w:rPr>
          <w:sz w:val="20"/>
          <w:szCs w:val="20"/>
        </w:rPr>
        <w:t xml:space="preserve">This interpretation also has the major problem that Paul does not speak of “the body” as a cosmic body given his addition of the appositional genitive </w:t>
      </w:r>
      <w:r>
        <w:rPr>
          <w:rFonts w:ascii="Gentium Plus" w:hAnsi="Gentium Plus"/>
          <w:sz w:val="20"/>
          <w:szCs w:val="20"/>
          <w:lang w:val="el-GR"/>
        </w:rPr>
        <w:t>τῆς ἐκκλησίας</w:t>
      </w:r>
      <w:r>
        <w:rPr>
          <w:rFonts w:ascii="Cambria" w:hAnsi="Cambria"/>
          <w:sz w:val="20"/>
          <w:szCs w:val="20"/>
        </w:rPr>
        <w:t xml:space="preserve"> which modifies</w:t>
      </w:r>
      <w:r>
        <w:rPr>
          <w:rFonts w:ascii="Gentium Plus" w:hAnsi="Gentium Plus"/>
          <w:sz w:val="20"/>
          <w:szCs w:val="20"/>
          <w:lang w:val="el-GR"/>
        </w:rPr>
        <w:t xml:space="preserve"> τοῦ σώματος</w:t>
      </w:r>
      <w:r>
        <w:rPr>
          <w:sz w:val="20"/>
          <w:szCs w:val="20"/>
        </w:rPr>
        <w:t>.  See Arnold, “Jesus Christ,” 348-350.  There is, then, no need to posit</w:t>
      </w:r>
      <w:r w:rsidRPr="004F27C0">
        <w:rPr>
          <w:rFonts w:ascii="Gentium Plus" w:hAnsi="Gentium Plus"/>
          <w:sz w:val="20"/>
          <w:szCs w:val="20"/>
          <w:lang w:val="el-GR"/>
        </w:rPr>
        <w:t xml:space="preserve"> </w:t>
      </w:r>
      <w:r>
        <w:rPr>
          <w:rFonts w:ascii="Gentium Plus" w:hAnsi="Gentium Plus"/>
          <w:sz w:val="20"/>
          <w:szCs w:val="20"/>
          <w:lang w:val="el-GR"/>
        </w:rPr>
        <w:t>τῆς ἐκκλησίας</w:t>
      </w:r>
      <w:r>
        <w:rPr>
          <w:sz w:val="20"/>
          <w:szCs w:val="20"/>
        </w:rPr>
        <w:t xml:space="preserve"> as Pauline redaction to the original hymn. </w:t>
      </w:r>
    </w:p>
  </w:footnote>
  <w:footnote w:id="151">
    <w:p w14:paraId="04E5887D" w14:textId="6D94E35F" w:rsidR="00225DE7" w:rsidRPr="00437882" w:rsidRDefault="00225DE7" w:rsidP="00437882">
      <w:pPr>
        <w:pStyle w:val="FootnoteText"/>
        <w:jc w:val="both"/>
        <w:rPr>
          <w:sz w:val="20"/>
          <w:szCs w:val="20"/>
        </w:rPr>
      </w:pPr>
      <w:r>
        <w:rPr>
          <w:rStyle w:val="FootnoteReference"/>
        </w:rPr>
        <w:footnoteRef/>
      </w:r>
      <w:r>
        <w:t xml:space="preserve"> </w:t>
      </w:r>
      <w:r>
        <w:rPr>
          <w:sz w:val="20"/>
          <w:szCs w:val="20"/>
        </w:rPr>
        <w:t>Rightly noted by Dunne, “The Regal Status of Christ in the Colossian ‘Christ-Hymn’,” 14.</w:t>
      </w:r>
    </w:p>
  </w:footnote>
  <w:footnote w:id="152">
    <w:p w14:paraId="3EACAF41" w14:textId="6EE4E823" w:rsidR="00225DE7" w:rsidRPr="00437882" w:rsidRDefault="00225DE7" w:rsidP="00437882">
      <w:pPr>
        <w:pStyle w:val="FootnoteText"/>
        <w:jc w:val="both"/>
        <w:rPr>
          <w:sz w:val="20"/>
          <w:szCs w:val="20"/>
        </w:rPr>
      </w:pPr>
      <w:r>
        <w:rPr>
          <w:rStyle w:val="FootnoteReference"/>
        </w:rPr>
        <w:footnoteRef/>
      </w:r>
      <w:r>
        <w:t xml:space="preserve"> </w:t>
      </w:r>
      <w:r>
        <w:rPr>
          <w:sz w:val="20"/>
          <w:szCs w:val="20"/>
        </w:rPr>
        <w:t xml:space="preserve">On the use of the Psalms in Ephesians 1:20-23, see Andrew T. Lincoln, “The Use of the OT in Ephesians,” </w:t>
      </w:r>
      <w:r w:rsidRPr="00437882">
        <w:rPr>
          <w:i/>
          <w:iCs/>
          <w:sz w:val="20"/>
          <w:szCs w:val="20"/>
        </w:rPr>
        <w:t>JSNT</w:t>
      </w:r>
      <w:r>
        <w:rPr>
          <w:sz w:val="20"/>
          <w:szCs w:val="20"/>
        </w:rPr>
        <w:t xml:space="preserve"> 14 (1982): 16-57, here, 40-42.  That Col. 2:10 and Eph. 1:20-23 use the term “head” in the sense of enthroned ruler is rightly recognized though the insight is not pressed with Col. 1:18 by Gottfried Nebe, “Christ, the Body of Christ and Cosmic Powers in Paul’s Letters and the New Testament as a Whole,” in </w:t>
      </w:r>
      <w:r w:rsidRPr="002C3E94">
        <w:rPr>
          <w:i/>
          <w:iCs/>
          <w:sz w:val="20"/>
          <w:szCs w:val="20"/>
        </w:rPr>
        <w:t>Politics and Theopolitics in the Bible and Postbiblical Literature</w:t>
      </w:r>
      <w:r>
        <w:rPr>
          <w:sz w:val="20"/>
          <w:szCs w:val="20"/>
        </w:rPr>
        <w:t xml:space="preserve"> (eds. Henning Graf Reventlow et al; JSOTSup 171; Sheffield), 100-118, here, 114-116.</w:t>
      </w:r>
    </w:p>
  </w:footnote>
  <w:footnote w:id="153">
    <w:p w14:paraId="410E73F2" w14:textId="42F23F65" w:rsidR="00225DE7" w:rsidRPr="00F4102C" w:rsidRDefault="00225DE7">
      <w:pPr>
        <w:pStyle w:val="FootnoteText"/>
        <w:rPr>
          <w:sz w:val="20"/>
          <w:szCs w:val="20"/>
        </w:rPr>
      </w:pPr>
      <w:r>
        <w:rPr>
          <w:rStyle w:val="FootnoteReference"/>
        </w:rPr>
        <w:footnoteRef/>
      </w:r>
      <w:r>
        <w:t xml:space="preserve"> </w:t>
      </w:r>
      <w:r>
        <w:rPr>
          <w:sz w:val="20"/>
          <w:szCs w:val="20"/>
        </w:rPr>
        <w:t>So Arnold, “Jesus Christ,” 364-365.</w:t>
      </w:r>
    </w:p>
  </w:footnote>
  <w:footnote w:id="154">
    <w:p w14:paraId="02CA0D7D" w14:textId="38D6D580" w:rsidR="00225DE7" w:rsidRPr="00E07583" w:rsidRDefault="00225DE7">
      <w:pPr>
        <w:pStyle w:val="FootnoteText"/>
        <w:rPr>
          <w:sz w:val="20"/>
          <w:szCs w:val="20"/>
        </w:rPr>
      </w:pPr>
      <w:r>
        <w:rPr>
          <w:rStyle w:val="FootnoteReference"/>
        </w:rPr>
        <w:footnoteRef/>
      </w:r>
      <w:r>
        <w:t xml:space="preserve"> </w:t>
      </w:r>
      <w:r>
        <w:rPr>
          <w:sz w:val="20"/>
          <w:szCs w:val="20"/>
        </w:rPr>
        <w:t>See, for example, Judges 10:18; 11:11; 1 Kgs. 20:12 (LXX) Isa. 7:8-9; 11:10-11; Jer. 38:7 (LXX).</w:t>
      </w:r>
    </w:p>
  </w:footnote>
  <w:footnote w:id="155">
    <w:p w14:paraId="0EA17F45" w14:textId="38545874" w:rsidR="00225DE7" w:rsidRPr="005D2ABA" w:rsidRDefault="00225DE7">
      <w:pPr>
        <w:pStyle w:val="FootnoteText"/>
        <w:rPr>
          <w:sz w:val="20"/>
          <w:szCs w:val="20"/>
        </w:rPr>
      </w:pPr>
      <w:r>
        <w:rPr>
          <w:rStyle w:val="FootnoteReference"/>
        </w:rPr>
        <w:footnoteRef/>
      </w:r>
      <w:r>
        <w:t xml:space="preserve"> </w:t>
      </w:r>
      <w:r>
        <w:rPr>
          <w:sz w:val="20"/>
          <w:szCs w:val="20"/>
        </w:rPr>
        <w:t xml:space="preserve">On the head as the </w:t>
      </w:r>
      <w:r w:rsidRPr="005D2ABA">
        <w:rPr>
          <w:i/>
          <w:iCs/>
          <w:sz w:val="20"/>
          <w:szCs w:val="20"/>
        </w:rPr>
        <w:t>ruling</w:t>
      </w:r>
      <w:r>
        <w:rPr>
          <w:sz w:val="20"/>
          <w:szCs w:val="20"/>
        </w:rPr>
        <w:t xml:space="preserve"> part of the body, see Plato, </w:t>
      </w:r>
      <w:r w:rsidRPr="005D2ABA">
        <w:rPr>
          <w:i/>
          <w:iCs/>
          <w:sz w:val="20"/>
          <w:szCs w:val="20"/>
        </w:rPr>
        <w:t>Timaeus</w:t>
      </w:r>
      <w:r>
        <w:rPr>
          <w:sz w:val="20"/>
          <w:szCs w:val="20"/>
        </w:rPr>
        <w:t xml:space="preserve"> 44d.</w:t>
      </w:r>
    </w:p>
  </w:footnote>
  <w:footnote w:id="156">
    <w:p w14:paraId="313FFA29" w14:textId="6EC3F947" w:rsidR="00225DE7" w:rsidRPr="007B0EF9" w:rsidRDefault="00225DE7" w:rsidP="00053CE1">
      <w:pPr>
        <w:pStyle w:val="FootnoteText"/>
        <w:jc w:val="both"/>
        <w:rPr>
          <w:sz w:val="20"/>
          <w:szCs w:val="20"/>
        </w:rPr>
      </w:pPr>
      <w:r>
        <w:rPr>
          <w:rStyle w:val="FootnoteReference"/>
        </w:rPr>
        <w:footnoteRef/>
      </w:r>
      <w:r>
        <w:t xml:space="preserve"> </w:t>
      </w:r>
      <w:r>
        <w:rPr>
          <w:sz w:val="20"/>
          <w:szCs w:val="20"/>
        </w:rPr>
        <w:t xml:space="preserve">Cf. Harry Maier, “A Sly Civility: Colossians and Empire,” </w:t>
      </w:r>
      <w:r w:rsidRPr="00E00BEB">
        <w:rPr>
          <w:i/>
          <w:iCs/>
          <w:sz w:val="20"/>
          <w:szCs w:val="20"/>
        </w:rPr>
        <w:t>JSNT</w:t>
      </w:r>
      <w:r>
        <w:rPr>
          <w:sz w:val="20"/>
          <w:szCs w:val="20"/>
        </w:rPr>
        <w:t xml:space="preserve"> 27 (205): 323-349, here, 335 n. 29.  See also, Michelle V. Lee, </w:t>
      </w:r>
      <w:r w:rsidRPr="00053CE1">
        <w:rPr>
          <w:i/>
          <w:iCs/>
          <w:sz w:val="20"/>
          <w:szCs w:val="20"/>
        </w:rPr>
        <w:t>Paul, the Stoics, and the Body of Christ</w:t>
      </w:r>
      <w:r>
        <w:rPr>
          <w:sz w:val="20"/>
          <w:szCs w:val="20"/>
        </w:rPr>
        <w:t xml:space="preserve"> (SNTSMS 37; Cambridge: Cambridge University Press, 2006), 35-39.</w:t>
      </w:r>
    </w:p>
  </w:footnote>
  <w:footnote w:id="157">
    <w:p w14:paraId="5F50D9D0" w14:textId="752CA8F1" w:rsidR="00225DE7" w:rsidRPr="00681E53" w:rsidRDefault="00225DE7" w:rsidP="00053CE1">
      <w:pPr>
        <w:pStyle w:val="FootnoteText"/>
        <w:jc w:val="both"/>
        <w:rPr>
          <w:sz w:val="20"/>
          <w:szCs w:val="20"/>
        </w:rPr>
      </w:pPr>
      <w:r>
        <w:rPr>
          <w:rStyle w:val="FootnoteReference"/>
        </w:rPr>
        <w:footnoteRef/>
      </w:r>
      <w:r>
        <w:t xml:space="preserve"> </w:t>
      </w:r>
      <w:r>
        <w:rPr>
          <w:sz w:val="20"/>
          <w:szCs w:val="20"/>
        </w:rPr>
        <w:t>Maier, “Sly Civility,” 338.</w:t>
      </w:r>
    </w:p>
  </w:footnote>
  <w:footnote w:id="158">
    <w:p w14:paraId="1C15AD59" w14:textId="284D17A8" w:rsidR="00225DE7" w:rsidRPr="00FF312C" w:rsidRDefault="00225DE7" w:rsidP="00BB2EDB">
      <w:pPr>
        <w:pStyle w:val="FootnoteText"/>
        <w:jc w:val="both"/>
        <w:rPr>
          <w:sz w:val="20"/>
          <w:szCs w:val="20"/>
        </w:rPr>
      </w:pPr>
      <w:r>
        <w:rPr>
          <w:rStyle w:val="FootnoteReference"/>
        </w:rPr>
        <w:footnoteRef/>
      </w:r>
      <w:r>
        <w:t xml:space="preserve"> </w:t>
      </w:r>
      <w:r>
        <w:rPr>
          <w:sz w:val="20"/>
          <w:szCs w:val="20"/>
        </w:rPr>
        <w:t xml:space="preserve">Those who </w:t>
      </w:r>
      <w:r w:rsidRPr="00FF312C">
        <w:rPr>
          <w:sz w:val="20"/>
          <w:szCs w:val="20"/>
        </w:rPr>
        <w:t xml:space="preserve">translate </w:t>
      </w:r>
      <w:r w:rsidRPr="00FF312C">
        <w:rPr>
          <w:rFonts w:ascii="Gentium Plus" w:hAnsi="Gentium Plus"/>
          <w:bCs/>
          <w:sz w:val="20"/>
          <w:szCs w:val="20"/>
          <w:lang w:val="el-GR"/>
        </w:rPr>
        <w:t>ἀρχή</w:t>
      </w:r>
      <w:r w:rsidRPr="00FF312C">
        <w:rPr>
          <w:sz w:val="20"/>
          <w:szCs w:val="20"/>
        </w:rPr>
        <w:t xml:space="preserve"> as</w:t>
      </w:r>
      <w:r>
        <w:rPr>
          <w:sz w:val="20"/>
          <w:szCs w:val="20"/>
        </w:rPr>
        <w:t xml:space="preserve"> “beginning” include: Dunn, O’Brien, Gordley, </w:t>
      </w:r>
      <w:r w:rsidRPr="009D5283">
        <w:rPr>
          <w:i/>
          <w:iCs/>
          <w:sz w:val="20"/>
          <w:szCs w:val="20"/>
        </w:rPr>
        <w:t>The Colossian Hymn in Context</w:t>
      </w:r>
      <w:r>
        <w:rPr>
          <w:sz w:val="20"/>
          <w:szCs w:val="20"/>
        </w:rPr>
        <w:t xml:space="preserve">, 222. Those who </w:t>
      </w:r>
      <w:r w:rsidRPr="00FF312C">
        <w:rPr>
          <w:sz w:val="20"/>
          <w:szCs w:val="20"/>
        </w:rPr>
        <w:t xml:space="preserve">see </w:t>
      </w:r>
      <w:r w:rsidRPr="00FF312C">
        <w:rPr>
          <w:rFonts w:ascii="Gentium Plus" w:hAnsi="Gentium Plus"/>
          <w:bCs/>
          <w:sz w:val="20"/>
          <w:szCs w:val="20"/>
          <w:lang w:val="el-GR"/>
        </w:rPr>
        <w:t>ἀρχή</w:t>
      </w:r>
      <w:r w:rsidRPr="00FF312C">
        <w:rPr>
          <w:sz w:val="20"/>
          <w:szCs w:val="20"/>
        </w:rPr>
        <w:t xml:space="preserve"> as referring</w:t>
      </w:r>
      <w:r>
        <w:rPr>
          <w:sz w:val="20"/>
          <w:szCs w:val="20"/>
        </w:rPr>
        <w:t xml:space="preserve"> to Christ’s status as “ruler” include: Dunne, “The Regal Status of Christ in the Colossian ‘Christ-Hymn,’” 15.</w:t>
      </w:r>
    </w:p>
  </w:footnote>
  <w:footnote w:id="159">
    <w:p w14:paraId="78B7BCD1" w14:textId="318A9B61" w:rsidR="00225DE7" w:rsidRPr="00BB2EDB" w:rsidRDefault="00225DE7" w:rsidP="00BB2EDB">
      <w:pPr>
        <w:pStyle w:val="FootnoteText"/>
        <w:jc w:val="both"/>
        <w:rPr>
          <w:sz w:val="20"/>
          <w:szCs w:val="20"/>
        </w:rPr>
      </w:pPr>
      <w:r>
        <w:rPr>
          <w:rStyle w:val="FootnoteReference"/>
        </w:rPr>
        <w:footnoteRef/>
      </w:r>
      <w:r>
        <w:t xml:space="preserve"> </w:t>
      </w:r>
      <w:r>
        <w:rPr>
          <w:sz w:val="20"/>
          <w:szCs w:val="20"/>
        </w:rPr>
        <w:t xml:space="preserve">So Clinton E. Arnold, </w:t>
      </w:r>
      <w:r w:rsidRPr="00BB2EDB">
        <w:rPr>
          <w:i/>
          <w:iCs/>
          <w:sz w:val="20"/>
          <w:szCs w:val="20"/>
        </w:rPr>
        <w:t>The Colossian Syncretism: The Interface between Christianity and Folk Belief at Colossae</w:t>
      </w:r>
      <w:r>
        <w:rPr>
          <w:sz w:val="20"/>
          <w:szCs w:val="20"/>
        </w:rPr>
        <w:t xml:space="preserve"> (Grand Rapids: Baker Academic, 1996), 260-261. </w:t>
      </w:r>
    </w:p>
  </w:footnote>
  <w:footnote w:id="160">
    <w:p w14:paraId="7CD05B71" w14:textId="6F9543FC" w:rsidR="00225DE7" w:rsidRPr="00BB2EDB" w:rsidRDefault="00225DE7" w:rsidP="00BB2EDB">
      <w:pPr>
        <w:pStyle w:val="FootnoteText"/>
        <w:jc w:val="both"/>
        <w:rPr>
          <w:sz w:val="20"/>
          <w:szCs w:val="20"/>
        </w:rPr>
      </w:pPr>
      <w:r>
        <w:rPr>
          <w:rStyle w:val="FootnoteReference"/>
        </w:rPr>
        <w:footnoteRef/>
      </w:r>
      <w:r>
        <w:t xml:space="preserve"> </w:t>
      </w:r>
      <w:r>
        <w:rPr>
          <w:sz w:val="20"/>
          <w:szCs w:val="20"/>
        </w:rPr>
        <w:t xml:space="preserve">For other instances in the LXX </w:t>
      </w:r>
      <w:r w:rsidRPr="00BB2EDB">
        <w:rPr>
          <w:sz w:val="20"/>
          <w:szCs w:val="20"/>
        </w:rPr>
        <w:t xml:space="preserve">where </w:t>
      </w:r>
      <w:r w:rsidRPr="00BB2EDB">
        <w:rPr>
          <w:rFonts w:ascii="Gentium Plus" w:hAnsi="Gentium Plus"/>
          <w:bCs/>
          <w:sz w:val="20"/>
          <w:szCs w:val="20"/>
          <w:lang w:val="el-GR"/>
        </w:rPr>
        <w:t>ἀρχή</w:t>
      </w:r>
      <w:r w:rsidRPr="00BB2EDB">
        <w:rPr>
          <w:sz w:val="20"/>
          <w:szCs w:val="20"/>
        </w:rPr>
        <w:t xml:space="preserve"> refers</w:t>
      </w:r>
      <w:r>
        <w:rPr>
          <w:sz w:val="20"/>
          <w:szCs w:val="20"/>
        </w:rPr>
        <w:t xml:space="preserve"> to a king or ruler, see LXX Deut. 17:20; Dan. 2:37; 7:27; Amos. 6:7.</w:t>
      </w:r>
    </w:p>
  </w:footnote>
  <w:footnote w:id="161">
    <w:p w14:paraId="60B5AA18" w14:textId="5E92B346" w:rsidR="00225DE7" w:rsidRPr="00BB2EDB" w:rsidRDefault="00225DE7">
      <w:pPr>
        <w:pStyle w:val="FootnoteText"/>
        <w:rPr>
          <w:sz w:val="20"/>
          <w:szCs w:val="20"/>
        </w:rPr>
      </w:pPr>
      <w:r>
        <w:rPr>
          <w:rStyle w:val="FootnoteReference"/>
        </w:rPr>
        <w:footnoteRef/>
      </w:r>
      <w:r>
        <w:t xml:space="preserve"> </w:t>
      </w:r>
      <w:r>
        <w:rPr>
          <w:sz w:val="20"/>
          <w:szCs w:val="20"/>
        </w:rPr>
        <w:t>Cf. Rev. 1:5.</w:t>
      </w:r>
    </w:p>
  </w:footnote>
  <w:footnote w:id="162">
    <w:p w14:paraId="46086D27" w14:textId="20A8A22D" w:rsidR="00225DE7" w:rsidRPr="00B74863" w:rsidRDefault="00225DE7">
      <w:pPr>
        <w:pStyle w:val="FootnoteText"/>
        <w:rPr>
          <w:sz w:val="20"/>
          <w:szCs w:val="20"/>
        </w:rPr>
      </w:pPr>
      <w:r>
        <w:rPr>
          <w:rStyle w:val="FootnoteReference"/>
        </w:rPr>
        <w:footnoteRef/>
      </w:r>
      <w:r>
        <w:t xml:space="preserve"> </w:t>
      </w:r>
      <w:r>
        <w:rPr>
          <w:sz w:val="20"/>
          <w:szCs w:val="20"/>
        </w:rPr>
        <w:t xml:space="preserve">Note the repeated use of the future tense throughout Ps. 88:20-38. </w:t>
      </w:r>
    </w:p>
  </w:footnote>
  <w:footnote w:id="163">
    <w:p w14:paraId="3D539B98" w14:textId="0F78FD77" w:rsidR="00225DE7" w:rsidRPr="005062E5" w:rsidRDefault="00225DE7">
      <w:pPr>
        <w:pStyle w:val="FootnoteText"/>
        <w:rPr>
          <w:sz w:val="20"/>
          <w:szCs w:val="20"/>
        </w:rPr>
      </w:pPr>
      <w:r>
        <w:rPr>
          <w:rStyle w:val="FootnoteReference"/>
        </w:rPr>
        <w:footnoteRef/>
      </w:r>
      <w:r>
        <w:t xml:space="preserve"> </w:t>
      </w:r>
      <w:r>
        <w:rPr>
          <w:sz w:val="20"/>
          <w:szCs w:val="20"/>
        </w:rPr>
        <w:t xml:space="preserve">Hamilton, </w:t>
      </w:r>
      <w:r w:rsidRPr="005062E5">
        <w:rPr>
          <w:i/>
          <w:iCs/>
          <w:sz w:val="20"/>
          <w:szCs w:val="20"/>
        </w:rPr>
        <w:t>The Body Royal</w:t>
      </w:r>
      <w:r>
        <w:rPr>
          <w:sz w:val="20"/>
          <w:szCs w:val="20"/>
        </w:rPr>
        <w:t>, 92-94.</w:t>
      </w:r>
    </w:p>
  </w:footnote>
  <w:footnote w:id="164">
    <w:p w14:paraId="41C3B0A0" w14:textId="5A87D909" w:rsidR="00225DE7" w:rsidRPr="00351E10" w:rsidRDefault="00225DE7" w:rsidP="001F3E01">
      <w:pPr>
        <w:pStyle w:val="FootnoteText"/>
        <w:jc w:val="both"/>
        <w:rPr>
          <w:sz w:val="20"/>
          <w:szCs w:val="20"/>
        </w:rPr>
      </w:pPr>
      <w:r>
        <w:rPr>
          <w:rStyle w:val="FootnoteReference"/>
        </w:rPr>
        <w:footnoteRef/>
      </w:r>
      <w:r>
        <w:t xml:space="preserve"> </w:t>
      </w:r>
      <w:r>
        <w:rPr>
          <w:sz w:val="20"/>
          <w:szCs w:val="20"/>
        </w:rPr>
        <w:t xml:space="preserve">McDonough, </w:t>
      </w:r>
      <w:r w:rsidRPr="00351E10">
        <w:rPr>
          <w:i/>
          <w:iCs/>
          <w:sz w:val="20"/>
          <w:szCs w:val="20"/>
        </w:rPr>
        <w:t>Christ as Creator</w:t>
      </w:r>
      <w:r>
        <w:rPr>
          <w:sz w:val="20"/>
          <w:szCs w:val="20"/>
        </w:rPr>
        <w:t>, 184, suggests that it is precisely this “messianic triumph over the nations [that has] been read back into the original creation and been given cosmic scope.”</w:t>
      </w:r>
    </w:p>
  </w:footnote>
  <w:footnote w:id="165">
    <w:p w14:paraId="5DC8D359" w14:textId="57B5F873" w:rsidR="00225DE7" w:rsidRPr="00FB1763" w:rsidRDefault="00225DE7" w:rsidP="003E59B1">
      <w:pPr>
        <w:pStyle w:val="FootnoteText"/>
        <w:jc w:val="both"/>
        <w:rPr>
          <w:sz w:val="20"/>
          <w:szCs w:val="20"/>
        </w:rPr>
      </w:pPr>
      <w:r>
        <w:rPr>
          <w:rStyle w:val="FootnoteReference"/>
        </w:rPr>
        <w:footnoteRef/>
      </w:r>
      <w:r>
        <w:t xml:space="preserve"> </w:t>
      </w:r>
      <w:r>
        <w:rPr>
          <w:sz w:val="20"/>
          <w:szCs w:val="20"/>
        </w:rPr>
        <w:t xml:space="preserve">On the Messiah’s resurrection as royal enthronement in 1 Cor. 15:23-28, see N. T. Wright, </w:t>
      </w:r>
      <w:r w:rsidRPr="003E59B1">
        <w:rPr>
          <w:i/>
          <w:iCs/>
          <w:sz w:val="20"/>
          <w:szCs w:val="20"/>
        </w:rPr>
        <w:t>The Resurrection of the Son of God</w:t>
      </w:r>
      <w:r>
        <w:rPr>
          <w:sz w:val="20"/>
          <w:szCs w:val="20"/>
        </w:rPr>
        <w:t xml:space="preserve"> (Minneapolis: Fortress, 2003), 333-338; on Rom. 1:3-4, see Joshua W. Jipp, “Ancient, Modern, and Future Interpretations of Romans 1:3-4: Reception History and Biblical Interpretation,” </w:t>
      </w:r>
      <w:r w:rsidRPr="003E59B1">
        <w:rPr>
          <w:i/>
          <w:iCs/>
          <w:sz w:val="20"/>
          <w:szCs w:val="20"/>
        </w:rPr>
        <w:t>JTI</w:t>
      </w:r>
      <w:r>
        <w:rPr>
          <w:sz w:val="20"/>
          <w:szCs w:val="20"/>
        </w:rPr>
        <w:t xml:space="preserve"> 3 (2009): 241-259.  </w:t>
      </w:r>
    </w:p>
  </w:footnote>
  <w:footnote w:id="166">
    <w:p w14:paraId="71FF070B" w14:textId="4A5BF289" w:rsidR="00225DE7" w:rsidRPr="001F3E01" w:rsidRDefault="00225DE7" w:rsidP="001F3E01">
      <w:pPr>
        <w:pStyle w:val="FootnoteText"/>
        <w:jc w:val="both"/>
        <w:rPr>
          <w:sz w:val="20"/>
          <w:szCs w:val="20"/>
        </w:rPr>
      </w:pPr>
      <w:r>
        <w:rPr>
          <w:rStyle w:val="FootnoteReference"/>
        </w:rPr>
        <w:footnoteRef/>
      </w:r>
      <w:r>
        <w:t xml:space="preserve"> </w:t>
      </w:r>
      <w:r>
        <w:rPr>
          <w:sz w:val="20"/>
          <w:szCs w:val="20"/>
        </w:rPr>
        <w:t xml:space="preserve">Though his discussion is with respect to the royal depiction of “the firstborn from the dead” who is “the ruler over the kings of the earth” in Rev. 1:5, see the comments by G. K. Beale, </w:t>
      </w:r>
      <w:r w:rsidRPr="001F3E01">
        <w:rPr>
          <w:i/>
          <w:iCs/>
          <w:sz w:val="20"/>
          <w:szCs w:val="20"/>
        </w:rPr>
        <w:t>A New Testament Biblical Theology: The Unfolding of the Old Testament in the New</w:t>
      </w:r>
      <w:r>
        <w:rPr>
          <w:sz w:val="20"/>
          <w:szCs w:val="20"/>
        </w:rPr>
        <w:t xml:space="preserve"> (Grand Rapids: Baker Academic, 2011), 335-336.</w:t>
      </w:r>
    </w:p>
  </w:footnote>
  <w:footnote w:id="167">
    <w:p w14:paraId="1947BB4A" w14:textId="73A8F8C6" w:rsidR="00225DE7" w:rsidRPr="009D5283" w:rsidRDefault="00225DE7" w:rsidP="00E27FF3">
      <w:pPr>
        <w:pStyle w:val="FootnoteText"/>
        <w:jc w:val="both"/>
        <w:rPr>
          <w:sz w:val="20"/>
          <w:szCs w:val="20"/>
        </w:rPr>
      </w:pPr>
      <w:r>
        <w:rPr>
          <w:rStyle w:val="FootnoteReference"/>
        </w:rPr>
        <w:footnoteRef/>
      </w:r>
      <w:r>
        <w:t xml:space="preserve"> </w:t>
      </w:r>
      <w:r>
        <w:rPr>
          <w:sz w:val="20"/>
          <w:szCs w:val="20"/>
        </w:rPr>
        <w:t xml:space="preserve">Similarly, Fee, </w:t>
      </w:r>
      <w:r w:rsidRPr="009D5283">
        <w:rPr>
          <w:i/>
          <w:iCs/>
          <w:sz w:val="20"/>
          <w:szCs w:val="20"/>
        </w:rPr>
        <w:t>Pauline Christology</w:t>
      </w:r>
      <w:r>
        <w:rPr>
          <w:sz w:val="20"/>
          <w:szCs w:val="20"/>
        </w:rPr>
        <w:t>, 307.</w:t>
      </w:r>
    </w:p>
  </w:footnote>
  <w:footnote w:id="168">
    <w:p w14:paraId="6E3251FD" w14:textId="5256114F" w:rsidR="00225DE7" w:rsidRPr="003E59B1" w:rsidRDefault="00225DE7" w:rsidP="00E27FF3">
      <w:pPr>
        <w:pStyle w:val="FootnoteText"/>
        <w:jc w:val="both"/>
        <w:rPr>
          <w:sz w:val="20"/>
          <w:szCs w:val="20"/>
        </w:rPr>
      </w:pPr>
      <w:r>
        <w:rPr>
          <w:rStyle w:val="FootnoteReference"/>
        </w:rPr>
        <w:footnoteRef/>
      </w:r>
      <w:r>
        <w:t xml:space="preserve"> </w:t>
      </w:r>
      <w:r>
        <w:rPr>
          <w:sz w:val="20"/>
          <w:szCs w:val="20"/>
        </w:rPr>
        <w:t xml:space="preserve">See Lidija Novakovic, </w:t>
      </w:r>
      <w:r w:rsidRPr="003E59B1">
        <w:rPr>
          <w:i/>
          <w:iCs/>
          <w:sz w:val="20"/>
          <w:szCs w:val="20"/>
        </w:rPr>
        <w:t>Raised from the Dead According to Scripture: The Role of Israel’s Scripture in the Early Christian Interpretations of Jesus’ Resurrection</w:t>
      </w:r>
      <w:r>
        <w:rPr>
          <w:sz w:val="20"/>
          <w:szCs w:val="20"/>
        </w:rPr>
        <w:t xml:space="preserve"> (Jewish and Christian Texts in Contexts and Related Studies Series; New York/London: Bloomsbury, 2012), 152-153.</w:t>
      </w:r>
    </w:p>
  </w:footnote>
  <w:footnote w:id="169">
    <w:p w14:paraId="5FBCB4E7" w14:textId="2A1030EC" w:rsidR="00225DE7" w:rsidRPr="000263CA" w:rsidRDefault="00225DE7" w:rsidP="004E12D3">
      <w:pPr>
        <w:pStyle w:val="FootnoteText"/>
        <w:jc w:val="both"/>
        <w:rPr>
          <w:sz w:val="20"/>
          <w:szCs w:val="20"/>
        </w:rPr>
      </w:pPr>
      <w:r>
        <w:rPr>
          <w:rStyle w:val="FootnoteReference"/>
        </w:rPr>
        <w:footnoteRef/>
      </w:r>
      <w:r>
        <w:t xml:space="preserve"> </w:t>
      </w:r>
      <w:r>
        <w:rPr>
          <w:sz w:val="20"/>
          <w:szCs w:val="20"/>
        </w:rPr>
        <w:t>For example, Aristotle states: “…one should also use many kinds of amplification, for example if the subject is the only one, or the first (</w:t>
      </w:r>
      <w:r>
        <w:rPr>
          <w:rFonts w:ascii="Gentium Plus" w:hAnsi="Gentium Plus"/>
          <w:sz w:val="20"/>
          <w:szCs w:val="20"/>
          <w:lang w:val="el-GR"/>
        </w:rPr>
        <w:t>πρῶτος</w:t>
      </w:r>
      <w:r>
        <w:rPr>
          <w:sz w:val="20"/>
          <w:szCs w:val="20"/>
        </w:rPr>
        <w:t>), or one of a few, or the one who most has done something” (</w:t>
      </w:r>
      <w:r>
        <w:rPr>
          <w:i/>
          <w:sz w:val="20"/>
          <w:szCs w:val="20"/>
        </w:rPr>
        <w:t>Rhetoric</w:t>
      </w:r>
      <w:r>
        <w:rPr>
          <w:sz w:val="20"/>
          <w:szCs w:val="20"/>
        </w:rPr>
        <w:t xml:space="preserve"> 2.7.2).  Cf. Quintilian, </w:t>
      </w:r>
      <w:r w:rsidRPr="000263CA">
        <w:rPr>
          <w:i/>
          <w:iCs/>
          <w:sz w:val="20"/>
          <w:szCs w:val="20"/>
        </w:rPr>
        <w:t>Institutes</w:t>
      </w:r>
      <w:r>
        <w:rPr>
          <w:sz w:val="20"/>
          <w:szCs w:val="20"/>
        </w:rPr>
        <w:t xml:space="preserve"> 3.7.16; Aelius Theon, </w:t>
      </w:r>
      <w:r w:rsidRPr="000263CA">
        <w:rPr>
          <w:i/>
          <w:iCs/>
          <w:sz w:val="20"/>
          <w:szCs w:val="20"/>
        </w:rPr>
        <w:t>Progymnasmata</w:t>
      </w:r>
      <w:r>
        <w:rPr>
          <w:sz w:val="20"/>
          <w:szCs w:val="20"/>
        </w:rPr>
        <w:t xml:space="preserve">, 9.35-38. See further Jerome H. Neyrey, “ ‘First,’ ‘Only,’ One of a Few,’ and ‘No one else,”: The Rhetoric of Uniqueness  and the Doxologies in 1 Timothy,” </w:t>
      </w:r>
      <w:r w:rsidRPr="00B10894">
        <w:rPr>
          <w:i/>
          <w:iCs/>
          <w:sz w:val="20"/>
          <w:szCs w:val="20"/>
        </w:rPr>
        <w:t>Biblica</w:t>
      </w:r>
      <w:r>
        <w:rPr>
          <w:sz w:val="20"/>
          <w:szCs w:val="20"/>
        </w:rPr>
        <w:t xml:space="preserve"> 86 (2005): 59-87.</w:t>
      </w:r>
    </w:p>
  </w:footnote>
  <w:footnote w:id="170">
    <w:p w14:paraId="0189138B" w14:textId="06161D99" w:rsidR="00225DE7" w:rsidRPr="004E12D3" w:rsidRDefault="00225DE7" w:rsidP="004E12D3">
      <w:pPr>
        <w:pStyle w:val="FootnoteText"/>
        <w:jc w:val="both"/>
        <w:rPr>
          <w:sz w:val="20"/>
          <w:szCs w:val="20"/>
        </w:rPr>
      </w:pPr>
      <w:r>
        <w:rPr>
          <w:rStyle w:val="FootnoteReference"/>
        </w:rPr>
        <w:footnoteRef/>
      </w:r>
      <w:r>
        <w:t xml:space="preserve"> </w:t>
      </w:r>
      <w:r>
        <w:rPr>
          <w:sz w:val="20"/>
          <w:szCs w:val="20"/>
        </w:rPr>
        <w:t xml:space="preserve">See Gary N. Knoppers, “ ‘There was None Like Him’: Incomparability in the Book of Kings,” </w:t>
      </w:r>
      <w:r w:rsidRPr="004E12D3">
        <w:rPr>
          <w:i/>
          <w:iCs/>
          <w:sz w:val="20"/>
          <w:szCs w:val="20"/>
        </w:rPr>
        <w:t>CBQ</w:t>
      </w:r>
      <w:r>
        <w:rPr>
          <w:i/>
          <w:iCs/>
          <w:sz w:val="20"/>
          <w:szCs w:val="20"/>
        </w:rPr>
        <w:t xml:space="preserve"> </w:t>
      </w:r>
      <w:r>
        <w:rPr>
          <w:iCs/>
          <w:sz w:val="20"/>
          <w:szCs w:val="20"/>
        </w:rPr>
        <w:t>54 (1992): 411-431.</w:t>
      </w:r>
    </w:p>
  </w:footnote>
  <w:footnote w:id="171">
    <w:p w14:paraId="1BF3773A" w14:textId="61804CC8" w:rsidR="00225DE7" w:rsidRPr="00426C87" w:rsidRDefault="00225DE7" w:rsidP="004E12D3">
      <w:pPr>
        <w:pStyle w:val="FootnoteText"/>
        <w:jc w:val="both"/>
        <w:rPr>
          <w:sz w:val="20"/>
          <w:szCs w:val="20"/>
        </w:rPr>
      </w:pPr>
      <w:r>
        <w:rPr>
          <w:rStyle w:val="FootnoteReference"/>
        </w:rPr>
        <w:footnoteRef/>
      </w:r>
      <w:r>
        <w:t xml:space="preserve"> </w:t>
      </w:r>
      <w:r>
        <w:rPr>
          <w:sz w:val="20"/>
          <w:szCs w:val="20"/>
        </w:rPr>
        <w:t xml:space="preserve">So O’Brien, 51; Schweizer, 66-67; Stanley E. Porter, </w:t>
      </w:r>
      <w:r>
        <w:rPr>
          <w:rFonts w:ascii="Gentium Plus" w:hAnsi="Gentium Plus"/>
          <w:sz w:val="20"/>
          <w:szCs w:val="20"/>
          <w:lang w:val="el-GR"/>
        </w:rPr>
        <w:t xml:space="preserve">Καταλάσσω </w:t>
      </w:r>
      <w:r>
        <w:rPr>
          <w:rFonts w:ascii="Cambria" w:hAnsi="Cambria"/>
          <w:i/>
          <w:sz w:val="20"/>
          <w:szCs w:val="20"/>
        </w:rPr>
        <w:t xml:space="preserve">in Ancient Greek Literature, with Reference to the Pauline Writings </w:t>
      </w:r>
      <w:r>
        <w:rPr>
          <w:rFonts w:ascii="Cambria" w:hAnsi="Cambria"/>
          <w:sz w:val="20"/>
          <w:szCs w:val="20"/>
        </w:rPr>
        <w:t>(Cordoba: Ediciones El Almendro),</w:t>
      </w:r>
      <w:r>
        <w:rPr>
          <w:sz w:val="20"/>
          <w:szCs w:val="20"/>
        </w:rPr>
        <w:t xml:space="preserve"> 172-174.</w:t>
      </w:r>
    </w:p>
  </w:footnote>
  <w:footnote w:id="172">
    <w:p w14:paraId="3021E468" w14:textId="6EDCBED1" w:rsidR="00225DE7" w:rsidRPr="003D33D2" w:rsidRDefault="00225DE7">
      <w:pPr>
        <w:pStyle w:val="FootnoteText"/>
        <w:rPr>
          <w:sz w:val="20"/>
          <w:szCs w:val="20"/>
        </w:rPr>
      </w:pPr>
      <w:r>
        <w:rPr>
          <w:rStyle w:val="FootnoteReference"/>
        </w:rPr>
        <w:footnoteRef/>
      </w:r>
      <w:r>
        <w:t xml:space="preserve"> </w:t>
      </w:r>
      <w:r>
        <w:rPr>
          <w:sz w:val="20"/>
          <w:szCs w:val="20"/>
        </w:rPr>
        <w:t xml:space="preserve">For more examples, see LXX Ps. 49:12; Jer. 23:24; </w:t>
      </w:r>
    </w:p>
  </w:footnote>
  <w:footnote w:id="173">
    <w:p w14:paraId="07F544DE" w14:textId="1D9DBAF0" w:rsidR="00225DE7" w:rsidRPr="003D33D2" w:rsidRDefault="00225DE7" w:rsidP="007C5396">
      <w:pPr>
        <w:pStyle w:val="FootnoteText"/>
        <w:jc w:val="both"/>
        <w:rPr>
          <w:sz w:val="20"/>
          <w:szCs w:val="20"/>
        </w:rPr>
      </w:pPr>
      <w:r>
        <w:rPr>
          <w:rStyle w:val="FootnoteReference"/>
        </w:rPr>
        <w:footnoteRef/>
      </w:r>
      <w:r>
        <w:t xml:space="preserve"> </w:t>
      </w:r>
      <w:r>
        <w:rPr>
          <w:sz w:val="20"/>
          <w:szCs w:val="20"/>
        </w:rPr>
        <w:t xml:space="preserve">Similarly, Susan Watts Henderson [“God’s Fullness in Bodily Form: Christ and Church in Colossians,” </w:t>
      </w:r>
      <w:r w:rsidRPr="007C5396">
        <w:rPr>
          <w:i/>
          <w:iCs/>
          <w:sz w:val="20"/>
          <w:szCs w:val="20"/>
        </w:rPr>
        <w:t>ExT</w:t>
      </w:r>
      <w:r>
        <w:rPr>
          <w:sz w:val="20"/>
          <w:szCs w:val="20"/>
        </w:rPr>
        <w:t xml:space="preserve"> 118 (2007): 169-173, here, 172] notes: “When the hymn speaks of ‘all the fullness that dwells in him’ (Col 1:19), the term confers upon Christ the full extent of authority over ‘things visible and invisible, whether thrones or dominions or rulers or powers’ (Col 1:16).”</w:t>
      </w:r>
    </w:p>
  </w:footnote>
  <w:footnote w:id="174">
    <w:p w14:paraId="2FBB984E" w14:textId="2C177862" w:rsidR="00225DE7" w:rsidRPr="00C951F7" w:rsidRDefault="00225DE7" w:rsidP="00DD5D78">
      <w:pPr>
        <w:pStyle w:val="FootnoteText"/>
        <w:jc w:val="both"/>
        <w:rPr>
          <w:sz w:val="20"/>
          <w:szCs w:val="20"/>
        </w:rPr>
      </w:pPr>
      <w:r>
        <w:rPr>
          <w:rStyle w:val="FootnoteReference"/>
        </w:rPr>
        <w:footnoteRef/>
      </w:r>
      <w:r>
        <w:t xml:space="preserve"> </w:t>
      </w:r>
      <w:r>
        <w:rPr>
          <w:sz w:val="20"/>
          <w:szCs w:val="20"/>
        </w:rPr>
        <w:t xml:space="preserve">Here I follow Michael Peppard, </w:t>
      </w:r>
      <w:r w:rsidRPr="00C951F7">
        <w:rPr>
          <w:i/>
          <w:iCs/>
          <w:sz w:val="20"/>
          <w:szCs w:val="20"/>
        </w:rPr>
        <w:t>The Son of God in the Roman World: Divine Sonship in Its Social and Political Context</w:t>
      </w:r>
      <w:r>
        <w:rPr>
          <w:sz w:val="20"/>
          <w:szCs w:val="20"/>
        </w:rPr>
        <w:t xml:space="preserve"> (Oxford: Oxford University Press, 2011), 106-112; cf. Collins, “The Worship of Jesus and the Imperial Cult,” 249-251.</w:t>
      </w:r>
    </w:p>
  </w:footnote>
  <w:footnote w:id="175">
    <w:p w14:paraId="05C8B15A" w14:textId="658DCC28" w:rsidR="00225DE7" w:rsidRPr="006D43CC" w:rsidRDefault="00225DE7" w:rsidP="006D43CC">
      <w:pPr>
        <w:pStyle w:val="FootnoteText"/>
        <w:jc w:val="both"/>
        <w:rPr>
          <w:sz w:val="20"/>
          <w:szCs w:val="20"/>
        </w:rPr>
      </w:pPr>
      <w:r w:rsidRPr="006D43CC">
        <w:rPr>
          <w:rStyle w:val="FootnoteReference"/>
          <w:sz w:val="20"/>
          <w:szCs w:val="20"/>
        </w:rPr>
        <w:footnoteRef/>
      </w:r>
      <w:r w:rsidRPr="006D43CC">
        <w:rPr>
          <w:sz w:val="20"/>
          <w:szCs w:val="20"/>
        </w:rPr>
        <w:t xml:space="preserve"> Further support that Paul is using </w:t>
      </w:r>
      <w:r w:rsidRPr="006D43CC">
        <w:rPr>
          <w:rFonts w:ascii="Gentium Plus" w:hAnsi="Gentium Plus"/>
          <w:bCs/>
          <w:sz w:val="20"/>
          <w:szCs w:val="20"/>
          <w:lang w:val="el-GR"/>
        </w:rPr>
        <w:t>εὐδόκησεν</w:t>
      </w:r>
      <w:r w:rsidRPr="006D43CC">
        <w:rPr>
          <w:sz w:val="20"/>
          <w:szCs w:val="20"/>
        </w:rPr>
        <w:t xml:space="preserve"> to speak of God’s choice or election </w:t>
      </w:r>
      <w:r>
        <w:rPr>
          <w:sz w:val="20"/>
          <w:szCs w:val="20"/>
        </w:rPr>
        <w:t>can be found in Eph. 1:4-5 where God’s “election (</w:t>
      </w:r>
      <w:r>
        <w:rPr>
          <w:rFonts w:ascii="Gentium Plus" w:hAnsi="Gentium Plus"/>
          <w:sz w:val="20"/>
          <w:szCs w:val="20"/>
          <w:lang w:val="el-GR"/>
        </w:rPr>
        <w:t>ἐξελέξατο</w:t>
      </w:r>
      <w:r>
        <w:rPr>
          <w:sz w:val="20"/>
          <w:szCs w:val="20"/>
        </w:rPr>
        <w:t>) of us in him before the foundation of the world” and his “destining (</w:t>
      </w:r>
      <w:r>
        <w:rPr>
          <w:rFonts w:ascii="Gentium Plus" w:hAnsi="Gentium Plus"/>
          <w:sz w:val="20"/>
          <w:szCs w:val="20"/>
          <w:lang w:val="el-GR"/>
        </w:rPr>
        <w:t>προορίσας</w:t>
      </w:r>
      <w:r>
        <w:rPr>
          <w:sz w:val="20"/>
          <w:szCs w:val="20"/>
        </w:rPr>
        <w:t xml:space="preserve">) us for adoption” takes place </w:t>
      </w:r>
      <w:r>
        <w:rPr>
          <w:rFonts w:ascii="Gentium Plus" w:hAnsi="Gentium Plus"/>
          <w:sz w:val="20"/>
          <w:szCs w:val="20"/>
          <w:lang w:val="el-GR"/>
        </w:rPr>
        <w:t>κατὰ τὴν εὐδοκίαν τοῦ θελήματος αὐτοῦ</w:t>
      </w:r>
      <w:r>
        <w:rPr>
          <w:sz w:val="20"/>
          <w:szCs w:val="20"/>
        </w:rPr>
        <w:t>.</w:t>
      </w:r>
    </w:p>
  </w:footnote>
  <w:footnote w:id="176">
    <w:p w14:paraId="17D56DC7" w14:textId="4988E0F1" w:rsidR="00225DE7" w:rsidRPr="000A7523" w:rsidRDefault="00225DE7" w:rsidP="00F84108">
      <w:pPr>
        <w:pStyle w:val="FootnoteText"/>
        <w:jc w:val="both"/>
        <w:rPr>
          <w:sz w:val="20"/>
          <w:szCs w:val="20"/>
        </w:rPr>
      </w:pPr>
      <w:r>
        <w:rPr>
          <w:rStyle w:val="FootnoteReference"/>
        </w:rPr>
        <w:footnoteRef/>
      </w:r>
      <w:r>
        <w:t xml:space="preserve"> </w:t>
      </w:r>
      <w:r>
        <w:rPr>
          <w:sz w:val="20"/>
          <w:szCs w:val="20"/>
        </w:rPr>
        <w:t xml:space="preserve">For one more example, See the first lines of the speech placed by Seneca in Nero’s mouth in </w:t>
      </w:r>
      <w:r w:rsidRPr="000A7523">
        <w:rPr>
          <w:i/>
          <w:iCs/>
          <w:sz w:val="20"/>
          <w:szCs w:val="20"/>
        </w:rPr>
        <w:t>De Clementia</w:t>
      </w:r>
      <w:r>
        <w:rPr>
          <w:sz w:val="20"/>
          <w:szCs w:val="20"/>
        </w:rPr>
        <w:t xml:space="preserve">: “Have I, of all mortals, found favor with the gods and been chosen to act on earth in their stead?” (1.1.2). See J. Rufus Fears, “Nero as the Vicegerent of the Gods in Seneca’s </w:t>
      </w:r>
      <w:r w:rsidRPr="002F43B5">
        <w:rPr>
          <w:i/>
          <w:iCs/>
          <w:sz w:val="20"/>
          <w:szCs w:val="20"/>
        </w:rPr>
        <w:t>De Clementia</w:t>
      </w:r>
      <w:r>
        <w:rPr>
          <w:sz w:val="20"/>
          <w:szCs w:val="20"/>
        </w:rPr>
        <w:t xml:space="preserve">,” </w:t>
      </w:r>
      <w:r w:rsidRPr="002F43B5">
        <w:rPr>
          <w:i/>
          <w:iCs/>
          <w:sz w:val="20"/>
          <w:szCs w:val="20"/>
        </w:rPr>
        <w:t>Hermes</w:t>
      </w:r>
      <w:r>
        <w:rPr>
          <w:sz w:val="20"/>
          <w:szCs w:val="20"/>
        </w:rPr>
        <w:t xml:space="preserve"> 103 (1975): 486-96.</w:t>
      </w:r>
    </w:p>
  </w:footnote>
  <w:footnote w:id="177">
    <w:p w14:paraId="513CC04B" w14:textId="7CC7A93C" w:rsidR="00225DE7" w:rsidRPr="000E4E7D" w:rsidRDefault="00225DE7" w:rsidP="00F84108">
      <w:pPr>
        <w:pStyle w:val="FootnoteText"/>
        <w:jc w:val="both"/>
        <w:rPr>
          <w:sz w:val="20"/>
          <w:szCs w:val="20"/>
        </w:rPr>
      </w:pPr>
      <w:r w:rsidRPr="000E4E7D">
        <w:rPr>
          <w:rStyle w:val="FootnoteReference"/>
          <w:sz w:val="20"/>
          <w:szCs w:val="20"/>
        </w:rPr>
        <w:footnoteRef/>
      </w:r>
      <w:r w:rsidRPr="000E4E7D">
        <w:rPr>
          <w:sz w:val="20"/>
          <w:szCs w:val="20"/>
        </w:rPr>
        <w:t xml:space="preserve"> Given my understanding of</w:t>
      </w:r>
      <w:r w:rsidRPr="000E4E7D">
        <w:rPr>
          <w:rFonts w:ascii="Gentium Plus" w:hAnsi="Gentium Plus"/>
          <w:bCs/>
          <w:sz w:val="20"/>
          <w:szCs w:val="20"/>
          <w:lang w:val="el-GR"/>
        </w:rPr>
        <w:t xml:space="preserve"> πᾶν τὸ πλήρωμα</w:t>
      </w:r>
      <w:r w:rsidRPr="000E4E7D">
        <w:rPr>
          <w:sz w:val="20"/>
          <w:szCs w:val="20"/>
        </w:rPr>
        <w:t xml:space="preserve"> as the subject of the main verb in 1:19, it makes most sense to retain “God” as the subject of</w:t>
      </w:r>
      <w:r w:rsidRPr="000E4E7D">
        <w:rPr>
          <w:rFonts w:ascii="Gentium Plus" w:hAnsi="Gentium Plus"/>
          <w:bCs/>
          <w:sz w:val="20"/>
          <w:szCs w:val="20"/>
          <w:lang w:val="el-GR"/>
        </w:rPr>
        <w:t xml:space="preserve"> ἀποκαταλλάξαι</w:t>
      </w:r>
      <w:r w:rsidRPr="000E4E7D">
        <w:rPr>
          <w:sz w:val="20"/>
          <w:szCs w:val="20"/>
        </w:rPr>
        <w:t xml:space="preserve"> who accomplishes reconciliation through the agency of his son (</w:t>
      </w:r>
      <w:r w:rsidRPr="000E4E7D">
        <w:rPr>
          <w:rFonts w:ascii="Gentium Plus" w:hAnsi="Gentium Plus"/>
          <w:bCs/>
          <w:sz w:val="20"/>
          <w:szCs w:val="20"/>
          <w:lang w:val="el-GR"/>
        </w:rPr>
        <w:t>δι᾽ αὐτοῦ</w:t>
      </w:r>
      <w:r w:rsidRPr="000E4E7D">
        <w:rPr>
          <w:sz w:val="20"/>
          <w:szCs w:val="20"/>
        </w:rPr>
        <w:t>).</w:t>
      </w:r>
    </w:p>
  </w:footnote>
  <w:footnote w:id="178">
    <w:p w14:paraId="7B5C5B4E" w14:textId="31763D7F" w:rsidR="00225DE7" w:rsidRPr="000E4E7D" w:rsidRDefault="00225DE7" w:rsidP="00F84108">
      <w:pPr>
        <w:pStyle w:val="FootnoteText"/>
        <w:jc w:val="both"/>
        <w:rPr>
          <w:sz w:val="20"/>
          <w:szCs w:val="20"/>
        </w:rPr>
      </w:pPr>
      <w:r>
        <w:rPr>
          <w:rStyle w:val="FootnoteReference"/>
        </w:rPr>
        <w:footnoteRef/>
      </w:r>
      <w:r>
        <w:t xml:space="preserve"> </w:t>
      </w:r>
      <w:r>
        <w:rPr>
          <w:sz w:val="20"/>
          <w:szCs w:val="20"/>
        </w:rPr>
        <w:t xml:space="preserve">See Gordley, </w:t>
      </w:r>
      <w:r>
        <w:rPr>
          <w:i/>
          <w:sz w:val="20"/>
          <w:szCs w:val="20"/>
        </w:rPr>
        <w:t>The Colossian Hymn in Context</w:t>
      </w:r>
      <w:r>
        <w:rPr>
          <w:sz w:val="20"/>
          <w:szCs w:val="20"/>
        </w:rPr>
        <w:t>, 226-227, who notes the emphasis in 1:20 on Christ’s benefactions for his people but does not draw the connection with praiseworthy kings and rulers.</w:t>
      </w:r>
    </w:p>
  </w:footnote>
  <w:footnote w:id="179">
    <w:p w14:paraId="6662A6D3" w14:textId="53F3E60D" w:rsidR="00225DE7" w:rsidRPr="00F2760A" w:rsidRDefault="00225DE7">
      <w:pPr>
        <w:pStyle w:val="FootnoteText"/>
        <w:rPr>
          <w:sz w:val="20"/>
          <w:szCs w:val="20"/>
        </w:rPr>
      </w:pPr>
      <w:r>
        <w:rPr>
          <w:rStyle w:val="FootnoteReference"/>
        </w:rPr>
        <w:footnoteRef/>
      </w:r>
      <w:r>
        <w:t xml:space="preserve"> </w:t>
      </w:r>
      <w:r>
        <w:rPr>
          <w:sz w:val="20"/>
          <w:szCs w:val="20"/>
        </w:rPr>
        <w:t>Text critical justification.</w:t>
      </w:r>
    </w:p>
  </w:footnote>
  <w:footnote w:id="180">
    <w:p w14:paraId="7BE1D89F" w14:textId="70B72D69" w:rsidR="00225DE7" w:rsidRPr="0002045C" w:rsidRDefault="00225DE7" w:rsidP="00BB7281">
      <w:pPr>
        <w:pStyle w:val="FootnoteText"/>
        <w:jc w:val="both"/>
        <w:rPr>
          <w:sz w:val="20"/>
          <w:szCs w:val="20"/>
        </w:rPr>
      </w:pPr>
      <w:r>
        <w:rPr>
          <w:rStyle w:val="FootnoteReference"/>
        </w:rPr>
        <w:footnoteRef/>
      </w:r>
      <w:r>
        <w:t xml:space="preserve"> </w:t>
      </w:r>
      <w:r>
        <w:rPr>
          <w:sz w:val="20"/>
          <w:szCs w:val="20"/>
        </w:rPr>
        <w:t xml:space="preserve">Andrew Wallace-Hadrill [“The Emperor and his Virtues,” </w:t>
      </w:r>
      <w:r w:rsidRPr="0002045C">
        <w:rPr>
          <w:i/>
          <w:iCs/>
          <w:sz w:val="20"/>
          <w:szCs w:val="20"/>
        </w:rPr>
        <w:t>Historia</w:t>
      </w:r>
      <w:r>
        <w:rPr>
          <w:sz w:val="20"/>
          <w:szCs w:val="20"/>
        </w:rPr>
        <w:t xml:space="preserve"> 30 (1981): 298-323] has demonstrated that there was no such established canon of royal virtues (as found on the shield presented to Augustus – </w:t>
      </w:r>
      <w:r w:rsidRPr="0002045C">
        <w:rPr>
          <w:i/>
          <w:iCs/>
          <w:sz w:val="20"/>
          <w:szCs w:val="20"/>
        </w:rPr>
        <w:t>virtus</w:t>
      </w:r>
      <w:r>
        <w:rPr>
          <w:sz w:val="20"/>
          <w:szCs w:val="20"/>
        </w:rPr>
        <w:t xml:space="preserve">, </w:t>
      </w:r>
      <w:r w:rsidRPr="0002045C">
        <w:rPr>
          <w:i/>
          <w:iCs/>
          <w:sz w:val="20"/>
          <w:szCs w:val="20"/>
        </w:rPr>
        <w:t>clementia</w:t>
      </w:r>
      <w:r>
        <w:rPr>
          <w:sz w:val="20"/>
          <w:szCs w:val="20"/>
        </w:rPr>
        <w:t xml:space="preserve">, </w:t>
      </w:r>
      <w:r w:rsidRPr="0002045C">
        <w:rPr>
          <w:i/>
          <w:iCs/>
          <w:sz w:val="20"/>
          <w:szCs w:val="20"/>
        </w:rPr>
        <w:t>iustitia</w:t>
      </w:r>
      <w:r>
        <w:rPr>
          <w:sz w:val="20"/>
          <w:szCs w:val="20"/>
        </w:rPr>
        <w:t xml:space="preserve">, and </w:t>
      </w:r>
      <w:r w:rsidRPr="0002045C">
        <w:rPr>
          <w:i/>
          <w:iCs/>
          <w:sz w:val="20"/>
          <w:szCs w:val="20"/>
        </w:rPr>
        <w:t>pietas</w:t>
      </w:r>
      <w:r>
        <w:rPr>
          <w:sz w:val="20"/>
          <w:szCs w:val="20"/>
        </w:rPr>
        <w:t>), but rather what demonstrates his legitimacy to rule is “the power to conquer, to save, to bring harmony and stability, and to distribute benefits” (p. 316). I am dependent here, in part, upon the fine essay by Philip de Souza [“</w:t>
      </w:r>
      <w:r w:rsidRPr="009D6D91">
        <w:rPr>
          <w:i/>
          <w:sz w:val="20"/>
          <w:szCs w:val="20"/>
        </w:rPr>
        <w:t>Parta Victoriis Pax</w:t>
      </w:r>
      <w:r>
        <w:rPr>
          <w:sz w:val="20"/>
          <w:szCs w:val="20"/>
        </w:rPr>
        <w:t xml:space="preserve">: Roman Emperors as Peacemakers,” in </w:t>
      </w:r>
      <w:r w:rsidRPr="00163F30">
        <w:rPr>
          <w:i/>
          <w:iCs/>
          <w:sz w:val="20"/>
          <w:szCs w:val="20"/>
        </w:rPr>
        <w:t>War and Peace in Ancient and Medieval History</w:t>
      </w:r>
      <w:r>
        <w:rPr>
          <w:sz w:val="20"/>
          <w:szCs w:val="20"/>
        </w:rPr>
        <w:t xml:space="preserve"> (eds. Philip de Souza and John France; Cambridge: Cambridge University Press, 2008), 76-106, here, 76] states: “One of the most prominent political and cultural features of the ancient world is the extent to which the authority and power of rulers was directly derived from their success in war.”</w:t>
      </w:r>
    </w:p>
  </w:footnote>
  <w:footnote w:id="181">
    <w:p w14:paraId="2B2435D1" w14:textId="7A70A2C2" w:rsidR="00225DE7" w:rsidRPr="00E56C27" w:rsidRDefault="00225DE7">
      <w:pPr>
        <w:pStyle w:val="FootnoteText"/>
        <w:rPr>
          <w:sz w:val="20"/>
          <w:szCs w:val="20"/>
        </w:rPr>
      </w:pPr>
      <w:r>
        <w:rPr>
          <w:rStyle w:val="FootnoteReference"/>
        </w:rPr>
        <w:footnoteRef/>
      </w:r>
      <w:r>
        <w:t xml:space="preserve"> </w:t>
      </w:r>
      <w:r>
        <w:rPr>
          <w:sz w:val="20"/>
          <w:szCs w:val="20"/>
        </w:rPr>
        <w:t xml:space="preserve">Fears, </w:t>
      </w:r>
      <w:r w:rsidRPr="009F7F5E">
        <w:rPr>
          <w:i/>
          <w:iCs/>
          <w:sz w:val="20"/>
          <w:szCs w:val="20"/>
        </w:rPr>
        <w:t>PRINCEPS A DIIS ELECTUS</w:t>
      </w:r>
      <w:r>
        <w:rPr>
          <w:iCs/>
          <w:sz w:val="20"/>
          <w:szCs w:val="20"/>
        </w:rPr>
        <w:t>,</w:t>
      </w:r>
      <w:r>
        <w:rPr>
          <w:sz w:val="20"/>
          <w:szCs w:val="20"/>
        </w:rPr>
        <w:t xml:space="preserve"> 45-46.</w:t>
      </w:r>
    </w:p>
  </w:footnote>
  <w:footnote w:id="182">
    <w:p w14:paraId="1C44AC45" w14:textId="0BB0FC76" w:rsidR="00225DE7" w:rsidRPr="00A30ECA" w:rsidRDefault="00225DE7">
      <w:pPr>
        <w:pStyle w:val="FootnoteText"/>
        <w:rPr>
          <w:sz w:val="20"/>
          <w:szCs w:val="20"/>
        </w:rPr>
      </w:pPr>
      <w:r>
        <w:rPr>
          <w:rStyle w:val="FootnoteReference"/>
        </w:rPr>
        <w:footnoteRef/>
      </w:r>
      <w:r>
        <w:t xml:space="preserve"> </w:t>
      </w:r>
      <w:r>
        <w:rPr>
          <w:sz w:val="20"/>
          <w:szCs w:val="20"/>
        </w:rPr>
        <w:t xml:space="preserve">E.g., see Pliny, </w:t>
      </w:r>
      <w:r w:rsidRPr="00A30ECA">
        <w:rPr>
          <w:i/>
          <w:iCs/>
          <w:sz w:val="20"/>
          <w:szCs w:val="20"/>
        </w:rPr>
        <w:t>Panegyricus</w:t>
      </w:r>
      <w:r>
        <w:rPr>
          <w:sz w:val="20"/>
          <w:szCs w:val="20"/>
        </w:rPr>
        <w:t xml:space="preserve">; Calpurnius Siculus, </w:t>
      </w:r>
      <w:r w:rsidRPr="008E2CC0">
        <w:rPr>
          <w:i/>
          <w:iCs/>
          <w:sz w:val="20"/>
          <w:szCs w:val="20"/>
        </w:rPr>
        <w:t>Eclogue</w:t>
      </w:r>
      <w:r>
        <w:rPr>
          <w:sz w:val="20"/>
          <w:szCs w:val="20"/>
        </w:rPr>
        <w:t xml:space="preserve"> 4.142-146.</w:t>
      </w:r>
    </w:p>
  </w:footnote>
  <w:footnote w:id="183">
    <w:p w14:paraId="6A9B9E96" w14:textId="3A218F95" w:rsidR="00225DE7" w:rsidRPr="00352468" w:rsidRDefault="00225DE7" w:rsidP="00352468">
      <w:pPr>
        <w:widowControl w:val="0"/>
        <w:autoSpaceDE w:val="0"/>
        <w:autoSpaceDN w:val="0"/>
        <w:adjustRightInd w:val="0"/>
        <w:jc w:val="both"/>
        <w:rPr>
          <w:rFonts w:ascii="Cambria" w:hAnsi="Cambria" w:cs="Times New Roman"/>
          <w:sz w:val="20"/>
          <w:szCs w:val="20"/>
        </w:rPr>
      </w:pPr>
      <w:r>
        <w:rPr>
          <w:rStyle w:val="FootnoteReference"/>
        </w:rPr>
        <w:footnoteRef/>
      </w:r>
      <w:r>
        <w:t xml:space="preserve"> </w:t>
      </w:r>
      <w:r>
        <w:rPr>
          <w:sz w:val="20"/>
          <w:szCs w:val="20"/>
        </w:rPr>
        <w:t xml:space="preserve">E.g., see </w:t>
      </w:r>
      <w:r w:rsidRPr="00936224">
        <w:rPr>
          <w:rFonts w:ascii="Cambria" w:hAnsi="Cambria" w:cs="Times New Roman"/>
          <w:sz w:val="20"/>
          <w:szCs w:val="20"/>
        </w:rPr>
        <w:t xml:space="preserve">Anthony Bash, </w:t>
      </w:r>
      <w:r w:rsidRPr="00936224">
        <w:rPr>
          <w:rFonts w:ascii="Cambria" w:hAnsi="Cambria" w:cs="Times New Roman"/>
          <w:i/>
          <w:sz w:val="20"/>
          <w:szCs w:val="20"/>
        </w:rPr>
        <w:t>Ambassadors for Christ: An Exploration of Ambassadorial Language in the New Testament</w:t>
      </w:r>
      <w:r w:rsidRPr="00936224">
        <w:rPr>
          <w:rFonts w:ascii="Cambria" w:hAnsi="Cambria" w:cs="Times New Roman"/>
          <w:sz w:val="20"/>
          <w:szCs w:val="20"/>
        </w:rPr>
        <w:t xml:space="preserve"> </w:t>
      </w:r>
      <w:r w:rsidRPr="00936224">
        <w:rPr>
          <w:rFonts w:ascii="Cambria" w:hAnsi="Cambria" w:cs="Times New Roman"/>
          <w:bCs/>
          <w:sz w:val="20"/>
          <w:szCs w:val="20"/>
        </w:rPr>
        <w:t>(WUNT 2; Tübingen: Mohr</w:t>
      </w:r>
      <w:r w:rsidRPr="00936224">
        <w:rPr>
          <w:rFonts w:ascii="Cambria" w:hAnsi="Cambria" w:cs="Times New Roman"/>
          <w:sz w:val="20"/>
          <w:szCs w:val="20"/>
        </w:rPr>
        <w:t xml:space="preserve"> </w:t>
      </w:r>
      <w:r w:rsidRPr="00936224">
        <w:rPr>
          <w:rFonts w:ascii="Cambria" w:hAnsi="Cambria" w:cs="Times New Roman"/>
          <w:bCs/>
          <w:sz w:val="20"/>
          <w:szCs w:val="20"/>
        </w:rPr>
        <w:t>Siebeck, 1997), 29-32</w:t>
      </w:r>
      <w:r>
        <w:rPr>
          <w:rFonts w:ascii="Cambria" w:hAnsi="Cambria" w:cs="Times New Roman"/>
          <w:bCs/>
          <w:sz w:val="20"/>
          <w:szCs w:val="20"/>
        </w:rPr>
        <w:t>.</w:t>
      </w:r>
    </w:p>
  </w:footnote>
  <w:footnote w:id="184">
    <w:p w14:paraId="08BA54D5" w14:textId="648395D3" w:rsidR="00225DE7" w:rsidRPr="002F172F" w:rsidRDefault="00225DE7">
      <w:pPr>
        <w:pStyle w:val="FootnoteText"/>
        <w:rPr>
          <w:sz w:val="20"/>
          <w:szCs w:val="20"/>
        </w:rPr>
      </w:pPr>
      <w:r>
        <w:rPr>
          <w:rStyle w:val="FootnoteReference"/>
        </w:rPr>
        <w:footnoteRef/>
      </w:r>
      <w:r>
        <w:t xml:space="preserve"> </w:t>
      </w:r>
      <w:r>
        <w:rPr>
          <w:sz w:val="20"/>
          <w:szCs w:val="20"/>
        </w:rPr>
        <w:t xml:space="preserve">See further, Herodotus, </w:t>
      </w:r>
      <w:r w:rsidRPr="002F172F">
        <w:rPr>
          <w:i/>
          <w:iCs/>
          <w:sz w:val="20"/>
          <w:szCs w:val="20"/>
        </w:rPr>
        <w:t>Histories</w:t>
      </w:r>
      <w:r>
        <w:rPr>
          <w:sz w:val="20"/>
          <w:szCs w:val="20"/>
        </w:rPr>
        <w:t xml:space="preserve"> 6.108.5; 7.154.3.</w:t>
      </w:r>
    </w:p>
  </w:footnote>
  <w:footnote w:id="185">
    <w:p w14:paraId="146D586F" w14:textId="054F4A60" w:rsidR="00225DE7" w:rsidRPr="00815618" w:rsidRDefault="00225DE7">
      <w:pPr>
        <w:pStyle w:val="FootnoteText"/>
        <w:rPr>
          <w:sz w:val="20"/>
          <w:szCs w:val="20"/>
        </w:rPr>
      </w:pPr>
      <w:r>
        <w:rPr>
          <w:rStyle w:val="FootnoteReference"/>
        </w:rPr>
        <w:footnoteRef/>
      </w:r>
      <w:r>
        <w:t xml:space="preserve"> </w:t>
      </w:r>
      <w:r>
        <w:rPr>
          <w:sz w:val="20"/>
          <w:szCs w:val="20"/>
        </w:rPr>
        <w:t>De Souza, “</w:t>
      </w:r>
      <w:r w:rsidRPr="009D6D91">
        <w:rPr>
          <w:i/>
          <w:sz w:val="20"/>
          <w:szCs w:val="20"/>
        </w:rPr>
        <w:t>Parta Victoriis Pax</w:t>
      </w:r>
      <w:r>
        <w:rPr>
          <w:sz w:val="20"/>
          <w:szCs w:val="20"/>
        </w:rPr>
        <w:t>,” 98-99.</w:t>
      </w:r>
    </w:p>
  </w:footnote>
  <w:footnote w:id="186">
    <w:p w14:paraId="685EE8AC" w14:textId="3CD34C9F" w:rsidR="00225DE7" w:rsidRPr="00424E5C" w:rsidRDefault="00225DE7" w:rsidP="00BB7281">
      <w:pPr>
        <w:pStyle w:val="FootnoteText"/>
        <w:jc w:val="both"/>
        <w:rPr>
          <w:sz w:val="20"/>
          <w:szCs w:val="20"/>
        </w:rPr>
      </w:pPr>
      <w:r>
        <w:rPr>
          <w:rStyle w:val="FootnoteReference"/>
        </w:rPr>
        <w:footnoteRef/>
      </w:r>
      <w:r>
        <w:t xml:space="preserve"> </w:t>
      </w:r>
      <w:r>
        <w:rPr>
          <w:sz w:val="20"/>
          <w:szCs w:val="20"/>
        </w:rPr>
        <w:t xml:space="preserve">For Alexander and his successors, see M. M. Austin, “Hellenistic Kings, War and the Economy,” </w:t>
      </w:r>
      <w:r w:rsidRPr="00424E5C">
        <w:rPr>
          <w:i/>
          <w:iCs/>
          <w:sz w:val="20"/>
          <w:szCs w:val="20"/>
        </w:rPr>
        <w:t>Classical Quarterly</w:t>
      </w:r>
      <w:r>
        <w:rPr>
          <w:sz w:val="20"/>
          <w:szCs w:val="20"/>
        </w:rPr>
        <w:t xml:space="preserve"> 36 (1986): 450-466.</w:t>
      </w:r>
    </w:p>
  </w:footnote>
  <w:footnote w:id="187">
    <w:p w14:paraId="07C6A6C1" w14:textId="183DE13A" w:rsidR="00225DE7" w:rsidRPr="00BB7281" w:rsidRDefault="00225DE7" w:rsidP="00815618">
      <w:pPr>
        <w:pStyle w:val="FootnoteText"/>
        <w:jc w:val="both"/>
        <w:rPr>
          <w:sz w:val="20"/>
          <w:szCs w:val="20"/>
        </w:rPr>
      </w:pPr>
      <w:r>
        <w:rPr>
          <w:rStyle w:val="FootnoteReference"/>
        </w:rPr>
        <w:footnoteRef/>
      </w:r>
      <w:r>
        <w:t xml:space="preserve"> </w:t>
      </w:r>
      <w:r>
        <w:rPr>
          <w:sz w:val="20"/>
          <w:szCs w:val="20"/>
        </w:rPr>
        <w:t xml:space="preserve">See Anathea E. Portier-Young, </w:t>
      </w:r>
      <w:r w:rsidRPr="00BB7281">
        <w:rPr>
          <w:i/>
          <w:iCs/>
          <w:sz w:val="20"/>
          <w:szCs w:val="20"/>
        </w:rPr>
        <w:t>Apocalypse Against Empire: Theologies of Resistance in Early Judaism</w:t>
      </w:r>
      <w:r>
        <w:rPr>
          <w:sz w:val="20"/>
          <w:szCs w:val="20"/>
        </w:rPr>
        <w:t xml:space="preserve"> (Grand Rapids: Eerdmans, 2011), 49-55.</w:t>
      </w:r>
    </w:p>
  </w:footnote>
  <w:footnote w:id="188">
    <w:p w14:paraId="055FADBD" w14:textId="4D7D1B05" w:rsidR="00225DE7" w:rsidRPr="00F639CF" w:rsidRDefault="00225DE7" w:rsidP="00815618">
      <w:pPr>
        <w:pStyle w:val="FootnoteText"/>
        <w:jc w:val="both"/>
        <w:rPr>
          <w:sz w:val="20"/>
          <w:szCs w:val="20"/>
        </w:rPr>
      </w:pPr>
      <w:r>
        <w:rPr>
          <w:rStyle w:val="FootnoteReference"/>
        </w:rPr>
        <w:footnoteRef/>
      </w:r>
      <w:r>
        <w:t xml:space="preserve"> </w:t>
      </w:r>
      <w:r>
        <w:rPr>
          <w:sz w:val="20"/>
          <w:szCs w:val="20"/>
        </w:rPr>
        <w:t xml:space="preserve">For text and translation, see Alison E. Cooley, </w:t>
      </w:r>
      <w:r w:rsidRPr="00F639CF">
        <w:rPr>
          <w:i/>
          <w:iCs/>
          <w:sz w:val="20"/>
          <w:szCs w:val="20"/>
        </w:rPr>
        <w:t>Res Gestae Divi Augusti: Text, Translation, and Commentary</w:t>
      </w:r>
      <w:r>
        <w:rPr>
          <w:sz w:val="20"/>
          <w:szCs w:val="20"/>
        </w:rPr>
        <w:t xml:space="preserve"> (Cambridge: Cambridge University Press, 2009).</w:t>
      </w:r>
    </w:p>
  </w:footnote>
  <w:footnote w:id="189">
    <w:p w14:paraId="50427F63" w14:textId="008BBA27" w:rsidR="00225DE7" w:rsidRPr="007A60ED" w:rsidRDefault="00225DE7" w:rsidP="00815618">
      <w:pPr>
        <w:pStyle w:val="FootnoteText"/>
        <w:jc w:val="both"/>
        <w:rPr>
          <w:sz w:val="20"/>
          <w:szCs w:val="20"/>
        </w:rPr>
      </w:pPr>
      <w:r>
        <w:rPr>
          <w:rStyle w:val="FootnoteReference"/>
        </w:rPr>
        <w:footnoteRef/>
      </w:r>
      <w:r>
        <w:t xml:space="preserve"> </w:t>
      </w:r>
      <w:r>
        <w:rPr>
          <w:sz w:val="20"/>
          <w:szCs w:val="20"/>
        </w:rPr>
        <w:t>de Souza,</w:t>
      </w:r>
      <w:r w:rsidRPr="007A60ED">
        <w:rPr>
          <w:sz w:val="20"/>
          <w:szCs w:val="20"/>
        </w:rPr>
        <w:t xml:space="preserve"> </w:t>
      </w:r>
      <w:r>
        <w:rPr>
          <w:sz w:val="20"/>
          <w:szCs w:val="20"/>
        </w:rPr>
        <w:t>“</w:t>
      </w:r>
      <w:r w:rsidRPr="009D6D91">
        <w:rPr>
          <w:i/>
          <w:sz w:val="20"/>
          <w:szCs w:val="20"/>
        </w:rPr>
        <w:t>Parta Victoriis Pax</w:t>
      </w:r>
      <w:r>
        <w:rPr>
          <w:sz w:val="20"/>
          <w:szCs w:val="20"/>
        </w:rPr>
        <w:t>,” 80-81.</w:t>
      </w:r>
    </w:p>
  </w:footnote>
  <w:footnote w:id="190">
    <w:p w14:paraId="03F2977C" w14:textId="16357FD2" w:rsidR="00225DE7" w:rsidRPr="00710CEC" w:rsidRDefault="00225DE7" w:rsidP="00815618">
      <w:pPr>
        <w:pStyle w:val="FootnoteText"/>
        <w:jc w:val="both"/>
        <w:rPr>
          <w:sz w:val="20"/>
          <w:szCs w:val="20"/>
        </w:rPr>
      </w:pPr>
      <w:r>
        <w:rPr>
          <w:rStyle w:val="FootnoteReference"/>
        </w:rPr>
        <w:footnoteRef/>
      </w:r>
      <w:r>
        <w:t xml:space="preserve"> </w:t>
      </w:r>
      <w:r>
        <w:rPr>
          <w:sz w:val="20"/>
          <w:szCs w:val="20"/>
        </w:rPr>
        <w:t>See de Souza, “</w:t>
      </w:r>
      <w:r w:rsidRPr="009D6D91">
        <w:rPr>
          <w:i/>
          <w:sz w:val="20"/>
          <w:szCs w:val="20"/>
        </w:rPr>
        <w:t>Parta Victoriis Pax</w:t>
      </w:r>
      <w:r>
        <w:rPr>
          <w:sz w:val="20"/>
          <w:szCs w:val="20"/>
        </w:rPr>
        <w:t>,” 82-83.</w:t>
      </w:r>
    </w:p>
  </w:footnote>
  <w:footnote w:id="191">
    <w:p w14:paraId="515547A4" w14:textId="2DE5A947" w:rsidR="00225DE7" w:rsidRPr="00815618" w:rsidRDefault="00225DE7" w:rsidP="00815618">
      <w:pPr>
        <w:pStyle w:val="FootnoteText"/>
        <w:jc w:val="both"/>
        <w:rPr>
          <w:sz w:val="20"/>
          <w:szCs w:val="20"/>
        </w:rPr>
      </w:pPr>
      <w:r>
        <w:rPr>
          <w:rStyle w:val="FootnoteReference"/>
        </w:rPr>
        <w:footnoteRef/>
      </w:r>
      <w:r>
        <w:t xml:space="preserve"> </w:t>
      </w:r>
      <w:r>
        <w:rPr>
          <w:sz w:val="20"/>
          <w:szCs w:val="20"/>
        </w:rPr>
        <w:t xml:space="preserve">See Zanker, </w:t>
      </w:r>
      <w:r w:rsidRPr="005F76AB">
        <w:rPr>
          <w:i/>
          <w:iCs/>
          <w:sz w:val="20"/>
          <w:szCs w:val="20"/>
        </w:rPr>
        <w:t>The Power of Images in the Age of Augustus</w:t>
      </w:r>
      <w:r>
        <w:rPr>
          <w:sz w:val="20"/>
          <w:szCs w:val="20"/>
        </w:rPr>
        <w:t>, 187. See also Tacitus’ scathing critique of imperial ‘peace’: “They ransack the world, and afterwards, when all the land has been laid waste by their pillaging, they scour the sea….They plunder, they murder, they rape, in the name of their so-called empire. And where they have made a dessert, they call it peace” (</w:t>
      </w:r>
      <w:r>
        <w:rPr>
          <w:i/>
          <w:sz w:val="20"/>
          <w:szCs w:val="20"/>
        </w:rPr>
        <w:t>Agr</w:t>
      </w:r>
      <w:r>
        <w:rPr>
          <w:sz w:val="20"/>
          <w:szCs w:val="20"/>
        </w:rPr>
        <w:t>. 30).</w:t>
      </w:r>
    </w:p>
  </w:footnote>
  <w:footnote w:id="192">
    <w:p w14:paraId="373331DC" w14:textId="43C8850A" w:rsidR="00225DE7" w:rsidRPr="00710CEC" w:rsidRDefault="00225DE7" w:rsidP="003D32C8">
      <w:pPr>
        <w:pStyle w:val="FootnoteText"/>
        <w:jc w:val="both"/>
        <w:rPr>
          <w:sz w:val="20"/>
          <w:szCs w:val="20"/>
        </w:rPr>
      </w:pPr>
      <w:r>
        <w:rPr>
          <w:rStyle w:val="FootnoteReference"/>
        </w:rPr>
        <w:footnoteRef/>
      </w:r>
      <w:r>
        <w:t xml:space="preserve"> </w:t>
      </w:r>
      <w:r>
        <w:rPr>
          <w:sz w:val="20"/>
          <w:szCs w:val="20"/>
        </w:rPr>
        <w:t>See above pp. xx-xx.  With particular attention to Neronian imperial iconography, see Maier, “Sly Civility,” 329-340.</w:t>
      </w:r>
    </w:p>
  </w:footnote>
  <w:footnote w:id="193">
    <w:p w14:paraId="1A236175" w14:textId="4A268131" w:rsidR="00225DE7" w:rsidRPr="00EB3A73" w:rsidRDefault="00225DE7" w:rsidP="003D32C8">
      <w:pPr>
        <w:pStyle w:val="FootnoteText"/>
        <w:jc w:val="both"/>
        <w:rPr>
          <w:sz w:val="20"/>
          <w:szCs w:val="20"/>
        </w:rPr>
      </w:pPr>
      <w:r>
        <w:rPr>
          <w:rStyle w:val="FootnoteReference"/>
        </w:rPr>
        <w:footnoteRef/>
      </w:r>
      <w:r>
        <w:t xml:space="preserve"> </w:t>
      </w:r>
      <w:r>
        <w:rPr>
          <w:sz w:val="20"/>
          <w:szCs w:val="20"/>
        </w:rPr>
        <w:t xml:space="preserve">J. Rufus Fears, “The Theology of Victory,” </w:t>
      </w:r>
      <w:r w:rsidRPr="00EB3A73">
        <w:rPr>
          <w:i/>
          <w:iCs/>
          <w:sz w:val="20"/>
          <w:szCs w:val="20"/>
        </w:rPr>
        <w:t>ANRW</w:t>
      </w:r>
      <w:r>
        <w:rPr>
          <w:sz w:val="20"/>
          <w:szCs w:val="20"/>
        </w:rPr>
        <w:t xml:space="preserve"> 2.17.2 (1981): 736-826, here, 810.</w:t>
      </w:r>
    </w:p>
  </w:footnote>
  <w:footnote w:id="194">
    <w:p w14:paraId="7B0739DA" w14:textId="676726EB" w:rsidR="00225DE7" w:rsidRPr="00EB3A73" w:rsidRDefault="00225DE7" w:rsidP="003D32C8">
      <w:pPr>
        <w:pStyle w:val="FootnoteText"/>
        <w:jc w:val="both"/>
        <w:rPr>
          <w:sz w:val="20"/>
          <w:szCs w:val="20"/>
        </w:rPr>
      </w:pPr>
      <w:r>
        <w:rPr>
          <w:rStyle w:val="FootnoteReference"/>
        </w:rPr>
        <w:footnoteRef/>
      </w:r>
      <w:r>
        <w:t xml:space="preserve"> </w:t>
      </w:r>
      <w:r>
        <w:rPr>
          <w:sz w:val="20"/>
          <w:szCs w:val="20"/>
        </w:rPr>
        <w:t xml:space="preserve">Galinsky, </w:t>
      </w:r>
      <w:r w:rsidRPr="00EB3A73">
        <w:rPr>
          <w:i/>
          <w:iCs/>
          <w:sz w:val="20"/>
          <w:szCs w:val="20"/>
        </w:rPr>
        <w:t>Augustan Culture</w:t>
      </w:r>
      <w:r>
        <w:rPr>
          <w:sz w:val="20"/>
          <w:szCs w:val="20"/>
        </w:rPr>
        <w:t>, 141.</w:t>
      </w:r>
    </w:p>
  </w:footnote>
  <w:footnote w:id="195">
    <w:p w14:paraId="6F4F5775" w14:textId="55E9BD67" w:rsidR="00225DE7" w:rsidRPr="00ED421B" w:rsidRDefault="00225DE7" w:rsidP="00ED421B">
      <w:pPr>
        <w:pStyle w:val="FootnoteText"/>
        <w:jc w:val="both"/>
        <w:rPr>
          <w:sz w:val="20"/>
          <w:szCs w:val="20"/>
        </w:rPr>
      </w:pPr>
      <w:r>
        <w:rPr>
          <w:rStyle w:val="FootnoteReference"/>
        </w:rPr>
        <w:footnoteRef/>
      </w:r>
      <w:r>
        <w:t xml:space="preserve"> </w:t>
      </w:r>
      <w:r>
        <w:rPr>
          <w:sz w:val="20"/>
          <w:szCs w:val="20"/>
        </w:rPr>
        <w:t xml:space="preserve">See Laura Salah Nasrallah, </w:t>
      </w:r>
      <w:r w:rsidRPr="005B43C0">
        <w:rPr>
          <w:i/>
          <w:iCs/>
          <w:sz w:val="20"/>
          <w:szCs w:val="20"/>
        </w:rPr>
        <w:t>Christian Responses to Roman Art and Architecture: The Second-Century Church Amid the Spaces of Empire</w:t>
      </w:r>
      <w:r>
        <w:rPr>
          <w:sz w:val="20"/>
          <w:szCs w:val="20"/>
        </w:rPr>
        <w:t xml:space="preserve"> (Cambridge: Cambridge University Press, 2010), 76-83; Stefan Weinstock, “</w:t>
      </w:r>
      <w:r>
        <w:rPr>
          <w:i/>
          <w:sz w:val="20"/>
          <w:szCs w:val="20"/>
        </w:rPr>
        <w:t>Pax</w:t>
      </w:r>
      <w:r>
        <w:rPr>
          <w:sz w:val="20"/>
          <w:szCs w:val="20"/>
        </w:rPr>
        <w:t xml:space="preserve"> and the ‘Ara Pacis’,” </w:t>
      </w:r>
      <w:r w:rsidRPr="00ED421B">
        <w:rPr>
          <w:i/>
          <w:iCs/>
          <w:sz w:val="20"/>
          <w:szCs w:val="20"/>
        </w:rPr>
        <w:t>JRS</w:t>
      </w:r>
      <w:r>
        <w:rPr>
          <w:sz w:val="20"/>
          <w:szCs w:val="20"/>
        </w:rPr>
        <w:t xml:space="preserve"> 50 (1960): 44-58; Galinsky, </w:t>
      </w:r>
      <w:r w:rsidRPr="008E2CC0">
        <w:rPr>
          <w:i/>
          <w:iCs/>
          <w:sz w:val="20"/>
          <w:szCs w:val="20"/>
        </w:rPr>
        <w:t>Augustan Culture</w:t>
      </w:r>
      <w:r>
        <w:rPr>
          <w:sz w:val="20"/>
          <w:szCs w:val="20"/>
        </w:rPr>
        <w:t>, 141-164.</w:t>
      </w:r>
    </w:p>
  </w:footnote>
  <w:footnote w:id="196">
    <w:p w14:paraId="6B4D42B1" w14:textId="2ACC5E35" w:rsidR="00225DE7" w:rsidRPr="00E94012" w:rsidRDefault="00225DE7">
      <w:pPr>
        <w:pStyle w:val="FootnoteText"/>
        <w:rPr>
          <w:sz w:val="20"/>
          <w:szCs w:val="20"/>
        </w:rPr>
      </w:pPr>
      <w:r>
        <w:rPr>
          <w:rStyle w:val="FootnoteReference"/>
        </w:rPr>
        <w:footnoteRef/>
      </w:r>
      <w:r>
        <w:t xml:space="preserve"> </w:t>
      </w:r>
      <w:r>
        <w:rPr>
          <w:sz w:val="20"/>
          <w:szCs w:val="20"/>
        </w:rPr>
        <w:t xml:space="preserve">This point is established convincingly and in detail by Maier, “Sly Civility,” 329-340. </w:t>
      </w:r>
    </w:p>
  </w:footnote>
  <w:footnote w:id="197">
    <w:p w14:paraId="03CD27EC" w14:textId="4E6ED4D1" w:rsidR="00225DE7" w:rsidRPr="00F668A7" w:rsidRDefault="00225DE7" w:rsidP="00535B58">
      <w:pPr>
        <w:pStyle w:val="FootnoteText"/>
        <w:jc w:val="both"/>
        <w:rPr>
          <w:sz w:val="20"/>
          <w:szCs w:val="20"/>
        </w:rPr>
      </w:pPr>
      <w:r>
        <w:rPr>
          <w:rStyle w:val="FootnoteReference"/>
        </w:rPr>
        <w:footnoteRef/>
      </w:r>
      <w:r>
        <w:t xml:space="preserve"> </w:t>
      </w:r>
      <w:r>
        <w:rPr>
          <w:sz w:val="20"/>
          <w:szCs w:val="20"/>
        </w:rPr>
        <w:t xml:space="preserve">That the participles should be read sequentially rather than synonymously, see Scott J. Hafemann, </w:t>
      </w:r>
      <w:r w:rsidRPr="00CD3735">
        <w:rPr>
          <w:i/>
          <w:iCs/>
          <w:sz w:val="20"/>
          <w:szCs w:val="20"/>
        </w:rPr>
        <w:t>Suffering and the Spirit: An Exegetical Study of 2 Corinthians 2:14-3:3 within the Context of the Corinthian Correspondence</w:t>
      </w:r>
      <w:r>
        <w:rPr>
          <w:sz w:val="20"/>
          <w:szCs w:val="20"/>
        </w:rPr>
        <w:t xml:space="preserve"> (Tübingen: Mohr-Siebeck, 1986), 33-34. On the Roman triumph, see Mary Beard, </w:t>
      </w:r>
      <w:r w:rsidRPr="00D643AD">
        <w:rPr>
          <w:i/>
          <w:iCs/>
          <w:sz w:val="20"/>
          <w:szCs w:val="20"/>
        </w:rPr>
        <w:t>The Roman Triumph</w:t>
      </w:r>
      <w:r>
        <w:rPr>
          <w:sz w:val="20"/>
          <w:szCs w:val="20"/>
        </w:rPr>
        <w:t xml:space="preserve"> (Cambridge, MA: The Belknap Press of Harvard University Press, 2007). On Paul’s use of in 2:15 as metaphorically employing the ritual of the Roman triumph, see Lamar Williamson, “Led in Triumph,” </w:t>
      </w:r>
      <w:r w:rsidRPr="00F668A7">
        <w:rPr>
          <w:i/>
          <w:iCs/>
          <w:sz w:val="20"/>
          <w:szCs w:val="20"/>
        </w:rPr>
        <w:t>Int</w:t>
      </w:r>
      <w:r>
        <w:rPr>
          <w:sz w:val="20"/>
          <w:szCs w:val="20"/>
        </w:rPr>
        <w:t xml:space="preserve"> 22 (1968): 317-332; Roy Yates, “Colossians 2.15: Christ Triumphant,” </w:t>
      </w:r>
      <w:r w:rsidRPr="00F668A7">
        <w:rPr>
          <w:i/>
          <w:iCs/>
          <w:sz w:val="20"/>
          <w:szCs w:val="20"/>
        </w:rPr>
        <w:t>NTS</w:t>
      </w:r>
      <w:r>
        <w:rPr>
          <w:sz w:val="20"/>
          <w:szCs w:val="20"/>
        </w:rPr>
        <w:t xml:space="preserve"> 37 (1991): 573-591; </w:t>
      </w:r>
      <w:r w:rsidRPr="00C94F95">
        <w:rPr>
          <w:rFonts w:ascii="Cambria" w:hAnsi="Cambria" w:cs="Times New Roman"/>
          <w:sz w:val="20"/>
          <w:szCs w:val="20"/>
        </w:rPr>
        <w:t xml:space="preserve">Wesley Carr, </w:t>
      </w:r>
      <w:r w:rsidRPr="00C94F95">
        <w:rPr>
          <w:rFonts w:ascii="Cambria" w:hAnsi="Cambria" w:cs="Times New Roman"/>
          <w:i/>
          <w:sz w:val="20"/>
          <w:szCs w:val="20"/>
        </w:rPr>
        <w:t>Angels and Principalities: The Background, Meaning and Development of the Pauline Phrase hai archai hai hai exousiai</w:t>
      </w:r>
      <w:r w:rsidRPr="00C94F95">
        <w:rPr>
          <w:rFonts w:ascii="Cambria" w:hAnsi="Cambria" w:cs="Times New Roman"/>
          <w:sz w:val="20"/>
          <w:szCs w:val="20"/>
        </w:rPr>
        <w:t xml:space="preserve"> (Cambridge: Cambridge University Press, 1981), 47-86</w:t>
      </w:r>
      <w:r>
        <w:rPr>
          <w:rFonts w:ascii="Cambria" w:hAnsi="Cambria" w:cs="Times New Roman"/>
          <w:sz w:val="20"/>
          <w:szCs w:val="20"/>
        </w:rPr>
        <w:t>.</w:t>
      </w:r>
    </w:p>
  </w:footnote>
  <w:footnote w:id="198">
    <w:p w14:paraId="0507EFB0" w14:textId="04DE0452" w:rsidR="00225DE7" w:rsidRPr="00CA311C" w:rsidRDefault="00225DE7" w:rsidP="00CA311C">
      <w:pPr>
        <w:pStyle w:val="FootnoteText"/>
        <w:jc w:val="both"/>
        <w:rPr>
          <w:sz w:val="20"/>
          <w:szCs w:val="20"/>
        </w:rPr>
      </w:pPr>
      <w:r>
        <w:rPr>
          <w:rStyle w:val="FootnoteReference"/>
        </w:rPr>
        <w:footnoteRef/>
      </w:r>
      <w:r>
        <w:t xml:space="preserve"> </w:t>
      </w:r>
      <w:r>
        <w:rPr>
          <w:sz w:val="20"/>
          <w:szCs w:val="20"/>
        </w:rPr>
        <w:t>Roman scholars are not in full agreement, but Mary Beard [</w:t>
      </w:r>
      <w:r>
        <w:rPr>
          <w:i/>
          <w:sz w:val="20"/>
          <w:szCs w:val="20"/>
        </w:rPr>
        <w:t>The Roman Triumph</w:t>
      </w:r>
      <w:r>
        <w:rPr>
          <w:sz w:val="20"/>
          <w:szCs w:val="20"/>
        </w:rPr>
        <w:t xml:space="preserve">, 233-234] notes: “…what we do know is that there were strong links between the triumphing general and those contested ideas of deity and deification that were so high on the cultural and political agenda of the late Republic and early Empire …. Human success and its accompanying glory could push a mortal toward and even across the permeable boundary which, for the Romans, separated men from gods. … Nonetheless, divine power and status were a measure against which to judge its human equivalents, and a potential goal and ambition for the super-successful.” Also, see H. S. Versnel, </w:t>
      </w:r>
      <w:r w:rsidRPr="00794007">
        <w:rPr>
          <w:i/>
          <w:iCs/>
          <w:sz w:val="20"/>
          <w:szCs w:val="20"/>
        </w:rPr>
        <w:t>Triumphus: An Inquiry into the Origin, Development and Meaning of the Roman Triumph</w:t>
      </w:r>
      <w:r>
        <w:rPr>
          <w:sz w:val="20"/>
          <w:szCs w:val="20"/>
        </w:rPr>
        <w:t xml:space="preserve"> (1970), 1: “In no other Roman ceremony do god and man approach each other as closely as they do in the triumph.”</w:t>
      </w:r>
    </w:p>
  </w:footnote>
  <w:footnote w:id="199">
    <w:p w14:paraId="22C73A40" w14:textId="0527796D" w:rsidR="00225DE7" w:rsidRPr="00295C58" w:rsidRDefault="00225DE7">
      <w:pPr>
        <w:pStyle w:val="FootnoteText"/>
        <w:rPr>
          <w:sz w:val="20"/>
          <w:szCs w:val="20"/>
        </w:rPr>
      </w:pPr>
      <w:r>
        <w:rPr>
          <w:rStyle w:val="FootnoteReference"/>
        </w:rPr>
        <w:footnoteRef/>
      </w:r>
      <w:r>
        <w:t xml:space="preserve"> </w:t>
      </w:r>
      <w:r>
        <w:rPr>
          <w:sz w:val="20"/>
          <w:szCs w:val="20"/>
        </w:rPr>
        <w:t>Maier, “Sly Civility,” 332.</w:t>
      </w:r>
    </w:p>
  </w:footnote>
  <w:footnote w:id="200">
    <w:p w14:paraId="7A6DF7ED" w14:textId="03FF5099" w:rsidR="00225DE7" w:rsidRPr="00195219" w:rsidRDefault="00225DE7" w:rsidP="00195219">
      <w:pPr>
        <w:pStyle w:val="FootnoteText"/>
        <w:jc w:val="both"/>
        <w:rPr>
          <w:sz w:val="20"/>
          <w:szCs w:val="20"/>
        </w:rPr>
      </w:pPr>
      <w:r>
        <w:rPr>
          <w:rStyle w:val="FootnoteReference"/>
        </w:rPr>
        <w:footnoteRef/>
      </w:r>
      <w:r>
        <w:t xml:space="preserve"> </w:t>
      </w:r>
      <w:r>
        <w:rPr>
          <w:sz w:val="20"/>
          <w:szCs w:val="20"/>
        </w:rPr>
        <w:t xml:space="preserve">E.g., see Larry W. Hurtado, </w:t>
      </w:r>
      <w:r w:rsidRPr="00195219">
        <w:rPr>
          <w:i/>
          <w:iCs/>
          <w:sz w:val="20"/>
          <w:szCs w:val="20"/>
        </w:rPr>
        <w:t>Lord Jesus Christ: Devotion to Jesus in Earliest Christianity</w:t>
      </w:r>
      <w:r>
        <w:rPr>
          <w:sz w:val="20"/>
          <w:szCs w:val="20"/>
        </w:rPr>
        <w:t xml:space="preserve"> (Grand Rapids: Eerdmans, 2003), 79-153; Bauckham. </w:t>
      </w:r>
    </w:p>
  </w:footnote>
  <w:footnote w:id="201">
    <w:p w14:paraId="406A1CE0" w14:textId="2A36D6F1" w:rsidR="00225DE7" w:rsidRDefault="00225DE7" w:rsidP="005714C5">
      <w:pPr>
        <w:pStyle w:val="FootnoteText"/>
        <w:jc w:val="both"/>
      </w:pPr>
      <w:r>
        <w:rPr>
          <w:rStyle w:val="FootnoteReference"/>
        </w:rPr>
        <w:footnoteRef/>
      </w:r>
      <w:r>
        <w:t xml:space="preserve"> </w:t>
      </w:r>
      <w:r>
        <w:rPr>
          <w:sz w:val="20"/>
          <w:szCs w:val="20"/>
        </w:rPr>
        <w:t xml:space="preserve">E.g., Walter T. Wilson, </w:t>
      </w:r>
      <w:r w:rsidRPr="00B609D8">
        <w:rPr>
          <w:i/>
          <w:iCs/>
          <w:sz w:val="20"/>
          <w:szCs w:val="20"/>
        </w:rPr>
        <w:t>The Hope of Glory: Education and Exhortation in the Epistle to the Colossians</w:t>
      </w:r>
      <w:r>
        <w:rPr>
          <w:sz w:val="20"/>
          <w:szCs w:val="20"/>
        </w:rPr>
        <w:t xml:space="preserve"> (NovTSup 88; Leiden: Brill, 1997), 183-218; Wayne A. Meeks, “ ‘To Walk Worthily of the Lord’: Moral Formation in the Pauline School Exemplified by the Letter to the Colossians,” 37-58, esp. 42-43; Fowl, </w:t>
      </w:r>
      <w:r w:rsidRPr="00B609D8">
        <w:rPr>
          <w:i/>
          <w:iCs/>
          <w:sz w:val="20"/>
          <w:szCs w:val="20"/>
        </w:rPr>
        <w:t>The Story of Christ in the Ethics of Paul</w:t>
      </w:r>
      <w:r>
        <w:rPr>
          <w:sz w:val="20"/>
          <w:szCs w:val="20"/>
        </w:rPr>
        <w:t xml:space="preserve">, 123-154; Gordley, </w:t>
      </w:r>
      <w:r w:rsidRPr="005714C5">
        <w:rPr>
          <w:i/>
          <w:iCs/>
          <w:sz w:val="20"/>
          <w:szCs w:val="20"/>
        </w:rPr>
        <w:t>Teaching through Song in Antiquity</w:t>
      </w:r>
      <w:r>
        <w:rPr>
          <w:sz w:val="20"/>
          <w:szCs w:val="20"/>
        </w:rPr>
        <w:t>.</w:t>
      </w:r>
    </w:p>
  </w:footnote>
  <w:footnote w:id="202">
    <w:p w14:paraId="2F52B939" w14:textId="50E460FD" w:rsidR="00225DE7" w:rsidRPr="003B0D15" w:rsidRDefault="00225DE7" w:rsidP="005714C5">
      <w:pPr>
        <w:pStyle w:val="FootnoteText"/>
        <w:jc w:val="both"/>
        <w:rPr>
          <w:sz w:val="20"/>
          <w:szCs w:val="20"/>
        </w:rPr>
      </w:pPr>
      <w:r>
        <w:rPr>
          <w:rStyle w:val="FootnoteReference"/>
        </w:rPr>
        <w:footnoteRef/>
      </w:r>
      <w:r>
        <w:t xml:space="preserve"> </w:t>
      </w:r>
      <w:r>
        <w:rPr>
          <w:sz w:val="20"/>
          <w:szCs w:val="20"/>
        </w:rPr>
        <w:t>Short note on Colossian situation.  I. Smith; C. Arnold.</w:t>
      </w:r>
    </w:p>
  </w:footnote>
  <w:footnote w:id="203">
    <w:p w14:paraId="56C19D65" w14:textId="553D4DA2" w:rsidR="00225DE7" w:rsidRPr="00274F1B" w:rsidRDefault="00225DE7" w:rsidP="00274F1B">
      <w:pPr>
        <w:pStyle w:val="FootnoteText"/>
        <w:jc w:val="both"/>
        <w:rPr>
          <w:sz w:val="20"/>
          <w:szCs w:val="20"/>
        </w:rPr>
      </w:pPr>
      <w:r w:rsidRPr="00274F1B">
        <w:rPr>
          <w:rStyle w:val="FootnoteReference"/>
          <w:sz w:val="20"/>
          <w:szCs w:val="20"/>
        </w:rPr>
        <w:footnoteRef/>
      </w:r>
      <w:r w:rsidRPr="00274F1B">
        <w:rPr>
          <w:sz w:val="20"/>
          <w:szCs w:val="20"/>
        </w:rPr>
        <w:t xml:space="preserve"> </w:t>
      </w:r>
      <w:r w:rsidRPr="00274F1B">
        <w:rPr>
          <w:bCs/>
          <w:sz w:val="20"/>
          <w:szCs w:val="20"/>
        </w:rPr>
        <w:t>We have seen the intimate relationship that exists between king and his subjects above in Seneca’s deployment of the head/mind – body metaphor, in acclamations of Augustus as the empires’ “breath of life” and “the beginning of all things”,</w:t>
      </w:r>
      <w:r>
        <w:rPr>
          <w:bCs/>
          <w:sz w:val="20"/>
          <w:szCs w:val="20"/>
        </w:rPr>
        <w:t xml:space="preserve"> and the Psalmist’s association between the king and the welfare of the people (e.g., LXX Psalms 71 and 88).</w:t>
      </w:r>
    </w:p>
  </w:footnote>
  <w:footnote w:id="204">
    <w:p w14:paraId="7740CEAB" w14:textId="5273770B" w:rsidR="00225DE7" w:rsidRPr="00DC5573" w:rsidRDefault="00225DE7">
      <w:pPr>
        <w:pStyle w:val="FootnoteText"/>
        <w:rPr>
          <w:sz w:val="20"/>
          <w:szCs w:val="20"/>
        </w:rPr>
      </w:pPr>
      <w:r>
        <w:rPr>
          <w:rStyle w:val="FootnoteReference"/>
        </w:rPr>
        <w:footnoteRef/>
      </w:r>
      <w:r>
        <w:t xml:space="preserve"> </w:t>
      </w:r>
      <w:r>
        <w:rPr>
          <w:sz w:val="20"/>
          <w:szCs w:val="20"/>
        </w:rPr>
        <w:t>Clines; Poetics of Adam JBL.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0254B"/>
    <w:multiLevelType w:val="hybridMultilevel"/>
    <w:tmpl w:val="524A63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892"/>
    <w:rsid w:val="00001CC5"/>
    <w:rsid w:val="00006E01"/>
    <w:rsid w:val="0002045C"/>
    <w:rsid w:val="000263CA"/>
    <w:rsid w:val="00026928"/>
    <w:rsid w:val="00031202"/>
    <w:rsid w:val="00040427"/>
    <w:rsid w:val="00053CE1"/>
    <w:rsid w:val="000557D8"/>
    <w:rsid w:val="00060ECC"/>
    <w:rsid w:val="0006264D"/>
    <w:rsid w:val="000736BE"/>
    <w:rsid w:val="00076917"/>
    <w:rsid w:val="000823E3"/>
    <w:rsid w:val="000861C3"/>
    <w:rsid w:val="000913EC"/>
    <w:rsid w:val="00093981"/>
    <w:rsid w:val="00095F42"/>
    <w:rsid w:val="000A2BA8"/>
    <w:rsid w:val="000A3B57"/>
    <w:rsid w:val="000A7523"/>
    <w:rsid w:val="000B117B"/>
    <w:rsid w:val="000B3AB8"/>
    <w:rsid w:val="000B7076"/>
    <w:rsid w:val="000B73FA"/>
    <w:rsid w:val="000D0837"/>
    <w:rsid w:val="000D5ACF"/>
    <w:rsid w:val="000E3103"/>
    <w:rsid w:val="000E4E7D"/>
    <w:rsid w:val="000E6B27"/>
    <w:rsid w:val="000F597F"/>
    <w:rsid w:val="0010072A"/>
    <w:rsid w:val="00113A13"/>
    <w:rsid w:val="00115A70"/>
    <w:rsid w:val="00115C53"/>
    <w:rsid w:val="00121328"/>
    <w:rsid w:val="001260B8"/>
    <w:rsid w:val="001331E1"/>
    <w:rsid w:val="001404F0"/>
    <w:rsid w:val="00142CC6"/>
    <w:rsid w:val="001471BB"/>
    <w:rsid w:val="001516CC"/>
    <w:rsid w:val="00163F30"/>
    <w:rsid w:val="001671F0"/>
    <w:rsid w:val="00175275"/>
    <w:rsid w:val="001778A4"/>
    <w:rsid w:val="00184CC8"/>
    <w:rsid w:val="001929FA"/>
    <w:rsid w:val="00193752"/>
    <w:rsid w:val="00195219"/>
    <w:rsid w:val="0019542F"/>
    <w:rsid w:val="001B5A21"/>
    <w:rsid w:val="001B5A4C"/>
    <w:rsid w:val="001B72E4"/>
    <w:rsid w:val="001C08E5"/>
    <w:rsid w:val="001C16DA"/>
    <w:rsid w:val="001D0C2C"/>
    <w:rsid w:val="001E65CC"/>
    <w:rsid w:val="001F3E01"/>
    <w:rsid w:val="00202027"/>
    <w:rsid w:val="00202D94"/>
    <w:rsid w:val="00205EB9"/>
    <w:rsid w:val="002111D2"/>
    <w:rsid w:val="00212CF5"/>
    <w:rsid w:val="00225DE7"/>
    <w:rsid w:val="0023070E"/>
    <w:rsid w:val="0023133C"/>
    <w:rsid w:val="00233B24"/>
    <w:rsid w:val="00236F9E"/>
    <w:rsid w:val="00257CBF"/>
    <w:rsid w:val="00260097"/>
    <w:rsid w:val="00266C42"/>
    <w:rsid w:val="0027179E"/>
    <w:rsid w:val="00274F1B"/>
    <w:rsid w:val="00292CAA"/>
    <w:rsid w:val="00295C58"/>
    <w:rsid w:val="00296230"/>
    <w:rsid w:val="002C2B76"/>
    <w:rsid w:val="002C3E94"/>
    <w:rsid w:val="002D4577"/>
    <w:rsid w:val="002E21CB"/>
    <w:rsid w:val="002F11EC"/>
    <w:rsid w:val="002F172F"/>
    <w:rsid w:val="002F43B5"/>
    <w:rsid w:val="002F677D"/>
    <w:rsid w:val="00307A65"/>
    <w:rsid w:val="003124AF"/>
    <w:rsid w:val="00312A12"/>
    <w:rsid w:val="00314B38"/>
    <w:rsid w:val="00321231"/>
    <w:rsid w:val="00322D94"/>
    <w:rsid w:val="00323776"/>
    <w:rsid w:val="00326AF8"/>
    <w:rsid w:val="0033408F"/>
    <w:rsid w:val="00336925"/>
    <w:rsid w:val="00337518"/>
    <w:rsid w:val="00345D06"/>
    <w:rsid w:val="0034753A"/>
    <w:rsid w:val="00351E10"/>
    <w:rsid w:val="00352468"/>
    <w:rsid w:val="003551CD"/>
    <w:rsid w:val="00357825"/>
    <w:rsid w:val="003630D5"/>
    <w:rsid w:val="00372E63"/>
    <w:rsid w:val="00374296"/>
    <w:rsid w:val="003864C2"/>
    <w:rsid w:val="003871A1"/>
    <w:rsid w:val="003A0C32"/>
    <w:rsid w:val="003B0D15"/>
    <w:rsid w:val="003B5DBE"/>
    <w:rsid w:val="003B7FE2"/>
    <w:rsid w:val="003C094D"/>
    <w:rsid w:val="003C34BC"/>
    <w:rsid w:val="003D32C8"/>
    <w:rsid w:val="003D33D2"/>
    <w:rsid w:val="003D37A5"/>
    <w:rsid w:val="003D4A8D"/>
    <w:rsid w:val="003D7C35"/>
    <w:rsid w:val="003E59B1"/>
    <w:rsid w:val="003E78D7"/>
    <w:rsid w:val="003E7A84"/>
    <w:rsid w:val="003F56A9"/>
    <w:rsid w:val="00401DAC"/>
    <w:rsid w:val="00402EE6"/>
    <w:rsid w:val="00421A1B"/>
    <w:rsid w:val="00424E5C"/>
    <w:rsid w:val="00426C87"/>
    <w:rsid w:val="00427B1A"/>
    <w:rsid w:val="00437882"/>
    <w:rsid w:val="00441B27"/>
    <w:rsid w:val="00453DD4"/>
    <w:rsid w:val="0046483D"/>
    <w:rsid w:val="00475E35"/>
    <w:rsid w:val="00476D3F"/>
    <w:rsid w:val="00491D14"/>
    <w:rsid w:val="0049226C"/>
    <w:rsid w:val="004951D0"/>
    <w:rsid w:val="004A23F0"/>
    <w:rsid w:val="004B4C4D"/>
    <w:rsid w:val="004B764B"/>
    <w:rsid w:val="004C289D"/>
    <w:rsid w:val="004D28B2"/>
    <w:rsid w:val="004E12D3"/>
    <w:rsid w:val="004E6B77"/>
    <w:rsid w:val="004F27C0"/>
    <w:rsid w:val="00504104"/>
    <w:rsid w:val="00505A65"/>
    <w:rsid w:val="005062E5"/>
    <w:rsid w:val="0051503D"/>
    <w:rsid w:val="00515B34"/>
    <w:rsid w:val="00517930"/>
    <w:rsid w:val="005235CD"/>
    <w:rsid w:val="005338A4"/>
    <w:rsid w:val="00535B58"/>
    <w:rsid w:val="00545664"/>
    <w:rsid w:val="005576DD"/>
    <w:rsid w:val="00560B89"/>
    <w:rsid w:val="005655CE"/>
    <w:rsid w:val="005661CB"/>
    <w:rsid w:val="005714C5"/>
    <w:rsid w:val="00576284"/>
    <w:rsid w:val="00583DAE"/>
    <w:rsid w:val="005914AE"/>
    <w:rsid w:val="00591E1D"/>
    <w:rsid w:val="005A733D"/>
    <w:rsid w:val="005B1308"/>
    <w:rsid w:val="005B247F"/>
    <w:rsid w:val="005B2E8C"/>
    <w:rsid w:val="005B43C0"/>
    <w:rsid w:val="005C1840"/>
    <w:rsid w:val="005C7DCC"/>
    <w:rsid w:val="005D263A"/>
    <w:rsid w:val="005D2ABA"/>
    <w:rsid w:val="005D4CB6"/>
    <w:rsid w:val="005E332C"/>
    <w:rsid w:val="005F0D96"/>
    <w:rsid w:val="005F1F28"/>
    <w:rsid w:val="005F45EB"/>
    <w:rsid w:val="005F5699"/>
    <w:rsid w:val="005F76AB"/>
    <w:rsid w:val="006248E4"/>
    <w:rsid w:val="00640892"/>
    <w:rsid w:val="00650001"/>
    <w:rsid w:val="0065591C"/>
    <w:rsid w:val="00666A48"/>
    <w:rsid w:val="00681E53"/>
    <w:rsid w:val="00693048"/>
    <w:rsid w:val="006A34D3"/>
    <w:rsid w:val="006A769B"/>
    <w:rsid w:val="006B16E0"/>
    <w:rsid w:val="006C2D82"/>
    <w:rsid w:val="006C6E9A"/>
    <w:rsid w:val="006D43CC"/>
    <w:rsid w:val="006D7D22"/>
    <w:rsid w:val="006E7F88"/>
    <w:rsid w:val="006F1543"/>
    <w:rsid w:val="006F6C00"/>
    <w:rsid w:val="0070039D"/>
    <w:rsid w:val="00706733"/>
    <w:rsid w:val="00710CEC"/>
    <w:rsid w:val="00712D4B"/>
    <w:rsid w:val="007157C5"/>
    <w:rsid w:val="00721326"/>
    <w:rsid w:val="00731589"/>
    <w:rsid w:val="007333D4"/>
    <w:rsid w:val="00734660"/>
    <w:rsid w:val="007361D0"/>
    <w:rsid w:val="00741500"/>
    <w:rsid w:val="0075432B"/>
    <w:rsid w:val="00755B0E"/>
    <w:rsid w:val="00766380"/>
    <w:rsid w:val="00784E45"/>
    <w:rsid w:val="00791333"/>
    <w:rsid w:val="00791782"/>
    <w:rsid w:val="00791D7A"/>
    <w:rsid w:val="00794007"/>
    <w:rsid w:val="007954C3"/>
    <w:rsid w:val="007A608F"/>
    <w:rsid w:val="007A60ED"/>
    <w:rsid w:val="007A61CC"/>
    <w:rsid w:val="007A7545"/>
    <w:rsid w:val="007B0EF9"/>
    <w:rsid w:val="007C0D31"/>
    <w:rsid w:val="007C5396"/>
    <w:rsid w:val="007C5E15"/>
    <w:rsid w:val="007C6374"/>
    <w:rsid w:val="007D3596"/>
    <w:rsid w:val="007E0E74"/>
    <w:rsid w:val="007E7F71"/>
    <w:rsid w:val="007F10E7"/>
    <w:rsid w:val="008025F6"/>
    <w:rsid w:val="00815618"/>
    <w:rsid w:val="008217FB"/>
    <w:rsid w:val="00821FB0"/>
    <w:rsid w:val="008248FC"/>
    <w:rsid w:val="00840543"/>
    <w:rsid w:val="00845BA4"/>
    <w:rsid w:val="00846A81"/>
    <w:rsid w:val="00854FB8"/>
    <w:rsid w:val="00866148"/>
    <w:rsid w:val="008704A2"/>
    <w:rsid w:val="00874D7B"/>
    <w:rsid w:val="00886C63"/>
    <w:rsid w:val="00894638"/>
    <w:rsid w:val="008C3C69"/>
    <w:rsid w:val="008C5AEF"/>
    <w:rsid w:val="008D4D7A"/>
    <w:rsid w:val="008D615E"/>
    <w:rsid w:val="008D6B54"/>
    <w:rsid w:val="008D6E62"/>
    <w:rsid w:val="008E01B2"/>
    <w:rsid w:val="008E2CC0"/>
    <w:rsid w:val="008E46CF"/>
    <w:rsid w:val="008E4F40"/>
    <w:rsid w:val="0090511C"/>
    <w:rsid w:val="009115E7"/>
    <w:rsid w:val="00914615"/>
    <w:rsid w:val="00914961"/>
    <w:rsid w:val="009168A9"/>
    <w:rsid w:val="00940FDF"/>
    <w:rsid w:val="00950846"/>
    <w:rsid w:val="00950B01"/>
    <w:rsid w:val="00962553"/>
    <w:rsid w:val="00970BB9"/>
    <w:rsid w:val="00973FFF"/>
    <w:rsid w:val="00974AAB"/>
    <w:rsid w:val="0097672B"/>
    <w:rsid w:val="009801A9"/>
    <w:rsid w:val="00985331"/>
    <w:rsid w:val="00986DEA"/>
    <w:rsid w:val="0098798C"/>
    <w:rsid w:val="00987C82"/>
    <w:rsid w:val="00991725"/>
    <w:rsid w:val="009919C7"/>
    <w:rsid w:val="0099552D"/>
    <w:rsid w:val="00995B96"/>
    <w:rsid w:val="009A7389"/>
    <w:rsid w:val="009A7B35"/>
    <w:rsid w:val="009B3F32"/>
    <w:rsid w:val="009B7242"/>
    <w:rsid w:val="009D5283"/>
    <w:rsid w:val="009D6BDB"/>
    <w:rsid w:val="009D6D91"/>
    <w:rsid w:val="009D77C0"/>
    <w:rsid w:val="009E1A6C"/>
    <w:rsid w:val="009E487B"/>
    <w:rsid w:val="009F262B"/>
    <w:rsid w:val="009F7F5E"/>
    <w:rsid w:val="00A127E8"/>
    <w:rsid w:val="00A25C2C"/>
    <w:rsid w:val="00A30ECA"/>
    <w:rsid w:val="00A43534"/>
    <w:rsid w:val="00A570BF"/>
    <w:rsid w:val="00A673AB"/>
    <w:rsid w:val="00A76B71"/>
    <w:rsid w:val="00A86BE7"/>
    <w:rsid w:val="00A90D85"/>
    <w:rsid w:val="00A91A2A"/>
    <w:rsid w:val="00A926CC"/>
    <w:rsid w:val="00A9571E"/>
    <w:rsid w:val="00A96367"/>
    <w:rsid w:val="00A9768B"/>
    <w:rsid w:val="00AA601B"/>
    <w:rsid w:val="00AC7133"/>
    <w:rsid w:val="00AE6028"/>
    <w:rsid w:val="00AF389E"/>
    <w:rsid w:val="00B10894"/>
    <w:rsid w:val="00B15B4A"/>
    <w:rsid w:val="00B1698A"/>
    <w:rsid w:val="00B34A0C"/>
    <w:rsid w:val="00B35F00"/>
    <w:rsid w:val="00B37366"/>
    <w:rsid w:val="00B42C4C"/>
    <w:rsid w:val="00B50CE3"/>
    <w:rsid w:val="00B567A9"/>
    <w:rsid w:val="00B609D8"/>
    <w:rsid w:val="00B64F9C"/>
    <w:rsid w:val="00B668B3"/>
    <w:rsid w:val="00B7084F"/>
    <w:rsid w:val="00B710F7"/>
    <w:rsid w:val="00B71E88"/>
    <w:rsid w:val="00B74863"/>
    <w:rsid w:val="00B75D97"/>
    <w:rsid w:val="00B8338B"/>
    <w:rsid w:val="00B866F8"/>
    <w:rsid w:val="00B9304D"/>
    <w:rsid w:val="00B97D03"/>
    <w:rsid w:val="00BA11C4"/>
    <w:rsid w:val="00BA39CF"/>
    <w:rsid w:val="00BA4D6E"/>
    <w:rsid w:val="00BB2EDB"/>
    <w:rsid w:val="00BB4C2C"/>
    <w:rsid w:val="00BB7281"/>
    <w:rsid w:val="00BC0BCE"/>
    <w:rsid w:val="00BC49A6"/>
    <w:rsid w:val="00BD270E"/>
    <w:rsid w:val="00BE137D"/>
    <w:rsid w:val="00BE3128"/>
    <w:rsid w:val="00BE46EF"/>
    <w:rsid w:val="00BE7138"/>
    <w:rsid w:val="00BE735C"/>
    <w:rsid w:val="00BF5B72"/>
    <w:rsid w:val="00C03BCC"/>
    <w:rsid w:val="00C11FB3"/>
    <w:rsid w:val="00C133FD"/>
    <w:rsid w:val="00C177ED"/>
    <w:rsid w:val="00C17A1B"/>
    <w:rsid w:val="00C31943"/>
    <w:rsid w:val="00C33CD8"/>
    <w:rsid w:val="00C352E4"/>
    <w:rsid w:val="00C433D4"/>
    <w:rsid w:val="00C47A2F"/>
    <w:rsid w:val="00C6322D"/>
    <w:rsid w:val="00C66073"/>
    <w:rsid w:val="00C71EA0"/>
    <w:rsid w:val="00C746A7"/>
    <w:rsid w:val="00C8199A"/>
    <w:rsid w:val="00C82455"/>
    <w:rsid w:val="00C85730"/>
    <w:rsid w:val="00C87214"/>
    <w:rsid w:val="00C951F7"/>
    <w:rsid w:val="00CA0C5E"/>
    <w:rsid w:val="00CA2895"/>
    <w:rsid w:val="00CA311C"/>
    <w:rsid w:val="00CA63B1"/>
    <w:rsid w:val="00CB46C0"/>
    <w:rsid w:val="00CD1982"/>
    <w:rsid w:val="00CD22E5"/>
    <w:rsid w:val="00CD2F4A"/>
    <w:rsid w:val="00CD3735"/>
    <w:rsid w:val="00CD46B3"/>
    <w:rsid w:val="00CD531C"/>
    <w:rsid w:val="00CD6038"/>
    <w:rsid w:val="00CF1BFC"/>
    <w:rsid w:val="00CF6785"/>
    <w:rsid w:val="00D153B9"/>
    <w:rsid w:val="00D3019F"/>
    <w:rsid w:val="00D40019"/>
    <w:rsid w:val="00D44ADE"/>
    <w:rsid w:val="00D471C5"/>
    <w:rsid w:val="00D5016F"/>
    <w:rsid w:val="00D555D9"/>
    <w:rsid w:val="00D55F25"/>
    <w:rsid w:val="00D61454"/>
    <w:rsid w:val="00D643AD"/>
    <w:rsid w:val="00D72931"/>
    <w:rsid w:val="00D91840"/>
    <w:rsid w:val="00DA5A2E"/>
    <w:rsid w:val="00DA649C"/>
    <w:rsid w:val="00DB2439"/>
    <w:rsid w:val="00DB28A9"/>
    <w:rsid w:val="00DC0016"/>
    <w:rsid w:val="00DC3ECD"/>
    <w:rsid w:val="00DC5573"/>
    <w:rsid w:val="00DD5D78"/>
    <w:rsid w:val="00DE2599"/>
    <w:rsid w:val="00DE7CFB"/>
    <w:rsid w:val="00DF3561"/>
    <w:rsid w:val="00E00378"/>
    <w:rsid w:val="00E00BEB"/>
    <w:rsid w:val="00E019EB"/>
    <w:rsid w:val="00E02542"/>
    <w:rsid w:val="00E03BE2"/>
    <w:rsid w:val="00E07583"/>
    <w:rsid w:val="00E142C1"/>
    <w:rsid w:val="00E27FF3"/>
    <w:rsid w:val="00E4195B"/>
    <w:rsid w:val="00E54388"/>
    <w:rsid w:val="00E56C27"/>
    <w:rsid w:val="00E71E6D"/>
    <w:rsid w:val="00E80A7D"/>
    <w:rsid w:val="00E8100E"/>
    <w:rsid w:val="00E94012"/>
    <w:rsid w:val="00E97E9C"/>
    <w:rsid w:val="00EB315A"/>
    <w:rsid w:val="00EB3A73"/>
    <w:rsid w:val="00EB6637"/>
    <w:rsid w:val="00EC1469"/>
    <w:rsid w:val="00ED421B"/>
    <w:rsid w:val="00EE63DD"/>
    <w:rsid w:val="00EF1EC9"/>
    <w:rsid w:val="00F00D59"/>
    <w:rsid w:val="00F1122C"/>
    <w:rsid w:val="00F14A05"/>
    <w:rsid w:val="00F20462"/>
    <w:rsid w:val="00F23817"/>
    <w:rsid w:val="00F25805"/>
    <w:rsid w:val="00F26DA2"/>
    <w:rsid w:val="00F2760A"/>
    <w:rsid w:val="00F34433"/>
    <w:rsid w:val="00F36CCB"/>
    <w:rsid w:val="00F4102C"/>
    <w:rsid w:val="00F50D19"/>
    <w:rsid w:val="00F570F3"/>
    <w:rsid w:val="00F639CF"/>
    <w:rsid w:val="00F668A7"/>
    <w:rsid w:val="00F7021D"/>
    <w:rsid w:val="00F81C7D"/>
    <w:rsid w:val="00F84108"/>
    <w:rsid w:val="00F930CF"/>
    <w:rsid w:val="00F95942"/>
    <w:rsid w:val="00F974E8"/>
    <w:rsid w:val="00FA325C"/>
    <w:rsid w:val="00FA704B"/>
    <w:rsid w:val="00FB1763"/>
    <w:rsid w:val="00FB23BB"/>
    <w:rsid w:val="00FC2A01"/>
    <w:rsid w:val="00FD62EE"/>
    <w:rsid w:val="00FE0151"/>
    <w:rsid w:val="00FE12B2"/>
    <w:rsid w:val="00FE5DDC"/>
    <w:rsid w:val="00FF0AFC"/>
    <w:rsid w:val="00FF24EC"/>
    <w:rsid w:val="00FF312C"/>
    <w:rsid w:val="00FF3F90"/>
    <w:rsid w:val="00FF65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BA3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40892"/>
  </w:style>
  <w:style w:type="character" w:customStyle="1" w:styleId="FootnoteTextChar">
    <w:name w:val="Footnote Text Char"/>
    <w:basedOn w:val="DefaultParagraphFont"/>
    <w:link w:val="FootnoteText"/>
    <w:uiPriority w:val="99"/>
    <w:rsid w:val="00640892"/>
  </w:style>
  <w:style w:type="character" w:styleId="FootnoteReference">
    <w:name w:val="footnote reference"/>
    <w:basedOn w:val="DefaultParagraphFont"/>
    <w:unhideWhenUsed/>
    <w:rsid w:val="00640892"/>
    <w:rPr>
      <w:vertAlign w:val="superscript"/>
    </w:rPr>
  </w:style>
  <w:style w:type="character" w:styleId="Emphasis">
    <w:name w:val="Emphasis"/>
    <w:basedOn w:val="DefaultParagraphFont"/>
    <w:uiPriority w:val="20"/>
    <w:qFormat/>
    <w:rsid w:val="00C433D4"/>
    <w:rPr>
      <w:i/>
      <w:iCs/>
    </w:rPr>
  </w:style>
  <w:style w:type="paragraph" w:styleId="Footer">
    <w:name w:val="footer"/>
    <w:basedOn w:val="Normal"/>
    <w:link w:val="FooterChar"/>
    <w:uiPriority w:val="99"/>
    <w:unhideWhenUsed/>
    <w:rsid w:val="003124AF"/>
    <w:pPr>
      <w:tabs>
        <w:tab w:val="center" w:pos="4320"/>
        <w:tab w:val="right" w:pos="8640"/>
      </w:tabs>
    </w:pPr>
  </w:style>
  <w:style w:type="character" w:customStyle="1" w:styleId="FooterChar">
    <w:name w:val="Footer Char"/>
    <w:basedOn w:val="DefaultParagraphFont"/>
    <w:link w:val="Footer"/>
    <w:uiPriority w:val="99"/>
    <w:rsid w:val="003124AF"/>
  </w:style>
  <w:style w:type="character" w:styleId="PageNumber">
    <w:name w:val="page number"/>
    <w:basedOn w:val="DefaultParagraphFont"/>
    <w:uiPriority w:val="99"/>
    <w:semiHidden/>
    <w:unhideWhenUsed/>
    <w:rsid w:val="003124AF"/>
  </w:style>
  <w:style w:type="paragraph" w:styleId="Header">
    <w:name w:val="header"/>
    <w:basedOn w:val="Normal"/>
    <w:link w:val="HeaderChar"/>
    <w:uiPriority w:val="99"/>
    <w:unhideWhenUsed/>
    <w:rsid w:val="00401DAC"/>
    <w:pPr>
      <w:tabs>
        <w:tab w:val="center" w:pos="4320"/>
        <w:tab w:val="right" w:pos="8640"/>
      </w:tabs>
    </w:pPr>
  </w:style>
  <w:style w:type="character" w:customStyle="1" w:styleId="HeaderChar">
    <w:name w:val="Header Char"/>
    <w:basedOn w:val="DefaultParagraphFont"/>
    <w:link w:val="Header"/>
    <w:uiPriority w:val="99"/>
    <w:rsid w:val="00401DAC"/>
  </w:style>
  <w:style w:type="paragraph" w:styleId="ListParagraph">
    <w:name w:val="List Paragraph"/>
    <w:basedOn w:val="Normal"/>
    <w:uiPriority w:val="34"/>
    <w:qFormat/>
    <w:rsid w:val="006F6C00"/>
    <w:pPr>
      <w:ind w:left="720"/>
      <w:contextualSpacing/>
    </w:pPr>
  </w:style>
  <w:style w:type="paragraph" w:customStyle="1" w:styleId="Default">
    <w:name w:val="Default"/>
    <w:rsid w:val="00A127E8"/>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640892"/>
  </w:style>
  <w:style w:type="character" w:customStyle="1" w:styleId="FootnoteTextChar">
    <w:name w:val="Footnote Text Char"/>
    <w:basedOn w:val="DefaultParagraphFont"/>
    <w:link w:val="FootnoteText"/>
    <w:uiPriority w:val="99"/>
    <w:rsid w:val="00640892"/>
  </w:style>
  <w:style w:type="character" w:styleId="FootnoteReference">
    <w:name w:val="footnote reference"/>
    <w:basedOn w:val="DefaultParagraphFont"/>
    <w:unhideWhenUsed/>
    <w:rsid w:val="00640892"/>
    <w:rPr>
      <w:vertAlign w:val="superscript"/>
    </w:rPr>
  </w:style>
  <w:style w:type="character" w:styleId="Emphasis">
    <w:name w:val="Emphasis"/>
    <w:basedOn w:val="DefaultParagraphFont"/>
    <w:uiPriority w:val="20"/>
    <w:qFormat/>
    <w:rsid w:val="00C433D4"/>
    <w:rPr>
      <w:i/>
      <w:iCs/>
    </w:rPr>
  </w:style>
  <w:style w:type="paragraph" w:styleId="Footer">
    <w:name w:val="footer"/>
    <w:basedOn w:val="Normal"/>
    <w:link w:val="FooterChar"/>
    <w:uiPriority w:val="99"/>
    <w:unhideWhenUsed/>
    <w:rsid w:val="003124AF"/>
    <w:pPr>
      <w:tabs>
        <w:tab w:val="center" w:pos="4320"/>
        <w:tab w:val="right" w:pos="8640"/>
      </w:tabs>
    </w:pPr>
  </w:style>
  <w:style w:type="character" w:customStyle="1" w:styleId="FooterChar">
    <w:name w:val="Footer Char"/>
    <w:basedOn w:val="DefaultParagraphFont"/>
    <w:link w:val="Footer"/>
    <w:uiPriority w:val="99"/>
    <w:rsid w:val="003124AF"/>
  </w:style>
  <w:style w:type="character" w:styleId="PageNumber">
    <w:name w:val="page number"/>
    <w:basedOn w:val="DefaultParagraphFont"/>
    <w:uiPriority w:val="99"/>
    <w:semiHidden/>
    <w:unhideWhenUsed/>
    <w:rsid w:val="003124AF"/>
  </w:style>
  <w:style w:type="paragraph" w:styleId="Header">
    <w:name w:val="header"/>
    <w:basedOn w:val="Normal"/>
    <w:link w:val="HeaderChar"/>
    <w:uiPriority w:val="99"/>
    <w:unhideWhenUsed/>
    <w:rsid w:val="00401DAC"/>
    <w:pPr>
      <w:tabs>
        <w:tab w:val="center" w:pos="4320"/>
        <w:tab w:val="right" w:pos="8640"/>
      </w:tabs>
    </w:pPr>
  </w:style>
  <w:style w:type="character" w:customStyle="1" w:styleId="HeaderChar">
    <w:name w:val="Header Char"/>
    <w:basedOn w:val="DefaultParagraphFont"/>
    <w:link w:val="Header"/>
    <w:uiPriority w:val="99"/>
    <w:rsid w:val="00401DAC"/>
  </w:style>
  <w:style w:type="paragraph" w:styleId="ListParagraph">
    <w:name w:val="List Paragraph"/>
    <w:basedOn w:val="Normal"/>
    <w:uiPriority w:val="34"/>
    <w:qFormat/>
    <w:rsid w:val="006F6C00"/>
    <w:pPr>
      <w:ind w:left="720"/>
      <w:contextualSpacing/>
    </w:pPr>
  </w:style>
  <w:style w:type="paragraph" w:customStyle="1" w:styleId="Default">
    <w:name w:val="Default"/>
    <w:rsid w:val="00A127E8"/>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5479</TotalTime>
  <Pages>64</Pages>
  <Words>14464</Words>
  <Characters>71597</Characters>
  <Application>Microsoft Macintosh Word</Application>
  <DocSecurity>0</DocSecurity>
  <Lines>1136</Lines>
  <Paragraphs>155</Paragraphs>
  <ScaleCrop>false</ScaleCrop>
  <Company/>
  <LinksUpToDate>false</LinksUpToDate>
  <CharactersWithSpaces>85906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2013-08-08T19:33:00Z</cp:lastPrinted>
  <dcterms:created xsi:type="dcterms:W3CDTF">2013-08-08T19:33:00Z</dcterms:created>
  <dcterms:modified xsi:type="dcterms:W3CDTF">2013-08-20T19:55:00Z</dcterms:modified>
</cp:coreProperties>
</file>