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38F" w:rsidRDefault="00CC338F" w:rsidP="00CC338F">
      <w:r>
        <w:t>Dear colleagues (of DDG),</w:t>
      </w:r>
    </w:p>
    <w:p w:rsidR="00CC338F" w:rsidRDefault="00CC338F" w:rsidP="00CC338F"/>
    <w:p w:rsidR="00912254" w:rsidRDefault="00912254" w:rsidP="00CC338F">
      <w:r>
        <w:t>Attached</w:t>
      </w:r>
      <w:r w:rsidR="00CC338F">
        <w:t xml:space="preserve"> is a draft of an invited paper to be </w:t>
      </w:r>
      <w:r w:rsidR="00305EE1">
        <w:t>delivered</w:t>
      </w:r>
      <w:r w:rsidR="00CC338F">
        <w:t xml:space="preserve"> this July at </w:t>
      </w:r>
      <w:r>
        <w:t>a</w:t>
      </w:r>
      <w:r w:rsidR="00CC338F">
        <w:t xml:space="preserve"> theological </w:t>
      </w:r>
      <w:r w:rsidR="00305EE1">
        <w:t>conference</w:t>
      </w:r>
      <w:r w:rsidR="00CC338F">
        <w:t xml:space="preserve"> at the Melbourne School of Theology. </w:t>
      </w:r>
      <w:r>
        <w:t>The theme of this conference is the theology of the Gospel of Matthew. Thanks for taking time to read this paper. Your comments are much appreciated.</w:t>
      </w:r>
    </w:p>
    <w:p w:rsidR="008177A5" w:rsidRDefault="00912254" w:rsidP="00CC338F">
      <w:r>
        <w:br/>
      </w:r>
      <w:r w:rsidR="008177A5">
        <w:t>Thanks,</w:t>
      </w:r>
    </w:p>
    <w:p w:rsidR="006118EB" w:rsidRPr="00CC338F" w:rsidRDefault="008177A5" w:rsidP="00CC338F">
      <w:r>
        <w:br/>
        <w:t>David</w:t>
      </w:r>
    </w:p>
    <w:p w:rsidR="00CC338F" w:rsidRDefault="00CC338F">
      <w:pPr>
        <w:rPr>
          <w:b/>
        </w:rPr>
      </w:pPr>
    </w:p>
    <w:p w:rsidR="006118EB" w:rsidRDefault="006118EB">
      <w:pPr>
        <w:rPr>
          <w:b/>
        </w:rPr>
      </w:pPr>
      <w:r>
        <w:rPr>
          <w:b/>
        </w:rPr>
        <w:br w:type="page"/>
      </w:r>
    </w:p>
    <w:p w:rsidR="002C58FF" w:rsidRPr="002C58FF" w:rsidRDefault="002C58FF" w:rsidP="006118EB">
      <w:pPr>
        <w:jc w:val="center"/>
        <w:rPr>
          <w:b/>
        </w:rPr>
      </w:pPr>
      <w:r>
        <w:rPr>
          <w:b/>
        </w:rPr>
        <w:t>Adultery, Divorce</w:t>
      </w:r>
      <w:r w:rsidR="007D3AC3">
        <w:rPr>
          <w:b/>
        </w:rPr>
        <w:t>,</w:t>
      </w:r>
      <w:r w:rsidRPr="002C58FF">
        <w:rPr>
          <w:b/>
        </w:rPr>
        <w:t xml:space="preserve"> and the Hard-Hearted People of God:</w:t>
      </w:r>
    </w:p>
    <w:p w:rsidR="0017504C" w:rsidRDefault="008E1920" w:rsidP="006D063A">
      <w:pPr>
        <w:jc w:val="center"/>
        <w:rPr>
          <w:b/>
        </w:rPr>
      </w:pPr>
      <w:r>
        <w:rPr>
          <w:b/>
        </w:rPr>
        <w:t>The Function</w:t>
      </w:r>
      <w:r w:rsidR="00DC68C8">
        <w:rPr>
          <w:b/>
        </w:rPr>
        <w:t xml:space="preserve"> of the</w:t>
      </w:r>
      <w:r w:rsidR="002C58FF">
        <w:rPr>
          <w:b/>
        </w:rPr>
        <w:t xml:space="preserve"> Matthean Exception Clause (</w:t>
      </w:r>
      <w:r w:rsidR="00050A76">
        <w:rPr>
          <w:b/>
        </w:rPr>
        <w:t>Matt 19:</w:t>
      </w:r>
      <w:r w:rsidR="002C58FF" w:rsidRPr="002C58FF">
        <w:rPr>
          <w:b/>
        </w:rPr>
        <w:t xml:space="preserve">9) </w:t>
      </w:r>
    </w:p>
    <w:p w:rsidR="004F2282" w:rsidRDefault="002C58FF" w:rsidP="006D063A">
      <w:pPr>
        <w:jc w:val="center"/>
        <w:rPr>
          <w:b/>
        </w:rPr>
      </w:pPr>
      <w:r w:rsidRPr="002C58FF">
        <w:rPr>
          <w:b/>
        </w:rPr>
        <w:t xml:space="preserve">in Its </w:t>
      </w:r>
      <w:r w:rsidR="0017504C">
        <w:rPr>
          <w:b/>
        </w:rPr>
        <w:t xml:space="preserve">Literary </w:t>
      </w:r>
      <w:r w:rsidR="00507382">
        <w:rPr>
          <w:b/>
        </w:rPr>
        <w:t>Context</w:t>
      </w:r>
    </w:p>
    <w:p w:rsidR="004F2282" w:rsidRPr="004F2282" w:rsidRDefault="004F2282" w:rsidP="006D063A">
      <w:pPr>
        <w:jc w:val="center"/>
      </w:pPr>
      <w:r w:rsidRPr="004F2282">
        <w:t>David W. Pao</w:t>
      </w:r>
    </w:p>
    <w:p w:rsidR="006D063A" w:rsidRDefault="004F2282" w:rsidP="006D063A">
      <w:pPr>
        <w:jc w:val="center"/>
      </w:pPr>
      <w:r w:rsidRPr="004F2282">
        <w:t>Trinity Evangelical Divinity School</w:t>
      </w:r>
    </w:p>
    <w:p w:rsidR="002C58FF" w:rsidRPr="004F2282" w:rsidRDefault="002C58FF" w:rsidP="006D063A">
      <w:pPr>
        <w:jc w:val="center"/>
      </w:pPr>
    </w:p>
    <w:p w:rsidR="00A1703E" w:rsidRPr="00A1703E" w:rsidRDefault="00A1703E" w:rsidP="006D063A">
      <w:pPr>
        <w:rPr>
          <w:i/>
        </w:rPr>
      </w:pPr>
      <w:r w:rsidRPr="00A1703E">
        <w:rPr>
          <w:i/>
        </w:rPr>
        <w:t>Abstract</w:t>
      </w:r>
    </w:p>
    <w:p w:rsidR="00A1703E" w:rsidRPr="00DF69C7" w:rsidRDefault="007B21A1" w:rsidP="006D063A">
      <w:pPr>
        <w:pStyle w:val="FootnoteText"/>
        <w:rPr>
          <w:sz w:val="22"/>
        </w:rPr>
      </w:pPr>
      <w:r w:rsidRPr="00DF69C7">
        <w:rPr>
          <w:sz w:val="22"/>
        </w:rPr>
        <w:t xml:space="preserve">While the interpretation of </w:t>
      </w:r>
      <w:r w:rsidR="00050A76" w:rsidRPr="00DF69C7">
        <w:rPr>
          <w:sz w:val="22"/>
        </w:rPr>
        <w:t>Matt</w:t>
      </w:r>
      <w:r w:rsidRPr="00DF69C7">
        <w:rPr>
          <w:sz w:val="22"/>
        </w:rPr>
        <w:t xml:space="preserve"> 19:1-12, and the exception clause in particular, has been </w:t>
      </w:r>
      <w:r w:rsidR="001B68BD" w:rsidRPr="00DF69C7">
        <w:rPr>
          <w:rFonts w:hint="eastAsia"/>
          <w:sz w:val="22"/>
          <w:lang w:eastAsia="zh-TW"/>
        </w:rPr>
        <w:t>a</w:t>
      </w:r>
      <w:r w:rsidR="001B68BD" w:rsidRPr="00DF69C7">
        <w:rPr>
          <w:sz w:val="22"/>
        </w:rPr>
        <w:t xml:space="preserve"> </w:t>
      </w:r>
      <w:r w:rsidRPr="00DF69C7">
        <w:rPr>
          <w:sz w:val="22"/>
        </w:rPr>
        <w:t>topic of great debate among scholars, the literary context of Matthew and the broader prophetic</w:t>
      </w:r>
      <w:r w:rsidR="006D52F9" w:rsidRPr="00DF69C7">
        <w:rPr>
          <w:sz w:val="22"/>
        </w:rPr>
        <w:t xml:space="preserve"> and theological</w:t>
      </w:r>
      <w:r w:rsidRPr="00DF69C7">
        <w:rPr>
          <w:sz w:val="22"/>
        </w:rPr>
        <w:t xml:space="preserve"> context</w:t>
      </w:r>
      <w:r w:rsidR="006D52F9" w:rsidRPr="00DF69C7">
        <w:rPr>
          <w:sz w:val="22"/>
        </w:rPr>
        <w:t>s</w:t>
      </w:r>
      <w:r w:rsidRPr="00DF69C7">
        <w:rPr>
          <w:sz w:val="22"/>
        </w:rPr>
        <w:t xml:space="preserve"> in which he was writing have been largely overlooked. This article argues that Matthew is locating this legal exposition of Deut 24:1-4 within a wider prophetic interpretation of the passage: God’s covenant people have been unfaithful to their covenant partner, and therefore God has the right to divorce them. </w:t>
      </w:r>
      <w:r w:rsidR="00A1703E" w:rsidRPr="00DF69C7">
        <w:rPr>
          <w:rFonts w:cs="Times New Roman"/>
          <w:sz w:val="22"/>
        </w:rPr>
        <w:t xml:space="preserve">This Matthean divorce text therefore plays a </w:t>
      </w:r>
      <w:r w:rsidR="00F173D5" w:rsidRPr="00DF69C7">
        <w:rPr>
          <w:rFonts w:cs="Times New Roman"/>
          <w:sz w:val="22"/>
        </w:rPr>
        <w:t xml:space="preserve">significant </w:t>
      </w:r>
      <w:r w:rsidR="00A1703E" w:rsidRPr="00DF69C7">
        <w:rPr>
          <w:rFonts w:cs="Times New Roman"/>
          <w:sz w:val="22"/>
        </w:rPr>
        <w:t xml:space="preserve">role in </w:t>
      </w:r>
      <w:r w:rsidR="00772C53" w:rsidRPr="00DF69C7">
        <w:rPr>
          <w:rFonts w:cs="Times New Roman"/>
          <w:sz w:val="22"/>
        </w:rPr>
        <w:t>its literary context</w:t>
      </w:r>
      <w:r w:rsidR="00A1703E" w:rsidRPr="00DF69C7">
        <w:rPr>
          <w:rFonts w:cs="Times New Roman"/>
          <w:sz w:val="22"/>
        </w:rPr>
        <w:t xml:space="preserve"> where both the issues of the identity of God’s renewed people </w:t>
      </w:r>
      <w:r w:rsidRPr="00DF69C7">
        <w:rPr>
          <w:rFonts w:cs="Times New Roman"/>
          <w:sz w:val="22"/>
        </w:rPr>
        <w:t>and</w:t>
      </w:r>
      <w:r w:rsidR="00A1703E" w:rsidRPr="00DF69C7">
        <w:rPr>
          <w:rFonts w:cs="Times New Roman"/>
          <w:sz w:val="22"/>
        </w:rPr>
        <w:t xml:space="preserve"> the rejection of God and his prophet by his own people are addressed. A legal discussion of marital unfaithfulness addressed to those</w:t>
      </w:r>
      <w:r w:rsidRPr="00DF69C7">
        <w:rPr>
          <w:rFonts w:cs="Times New Roman"/>
          <w:sz w:val="22"/>
        </w:rPr>
        <w:t xml:space="preserve"> who </w:t>
      </w:r>
      <w:r w:rsidR="00D66CC2" w:rsidRPr="00DF69C7">
        <w:rPr>
          <w:rFonts w:cs="Times New Roman"/>
          <w:sz w:val="22"/>
        </w:rPr>
        <w:t>have</w:t>
      </w:r>
      <w:r w:rsidR="00A1703E" w:rsidRPr="00DF69C7">
        <w:rPr>
          <w:rFonts w:cs="Times New Roman"/>
          <w:sz w:val="22"/>
        </w:rPr>
        <w:t xml:space="preserve"> </w:t>
      </w:r>
      <w:r w:rsidR="00050A76" w:rsidRPr="00DF69C7">
        <w:rPr>
          <w:rFonts w:cs="Times New Roman"/>
          <w:sz w:val="22"/>
        </w:rPr>
        <w:t>“</w:t>
      </w:r>
      <w:r w:rsidR="00D66CC2" w:rsidRPr="00DF69C7">
        <w:rPr>
          <w:rFonts w:cs="Times New Roman"/>
          <w:sz w:val="22"/>
        </w:rPr>
        <w:t xml:space="preserve">hard </w:t>
      </w:r>
      <w:r w:rsidR="00A1703E" w:rsidRPr="00DF69C7">
        <w:rPr>
          <w:rFonts w:cs="Times New Roman"/>
          <w:sz w:val="22"/>
        </w:rPr>
        <w:t>heart</w:t>
      </w:r>
      <w:r w:rsidR="00D66CC2" w:rsidRPr="00DF69C7">
        <w:rPr>
          <w:rFonts w:cs="Times New Roman"/>
          <w:sz w:val="22"/>
        </w:rPr>
        <w:t>s</w:t>
      </w:r>
      <w:r w:rsidR="00050A76" w:rsidRPr="00DF69C7">
        <w:rPr>
          <w:rFonts w:cs="Times New Roman"/>
          <w:sz w:val="22"/>
        </w:rPr>
        <w:t>” (19:</w:t>
      </w:r>
      <w:r w:rsidR="00A1703E" w:rsidRPr="00DF69C7">
        <w:rPr>
          <w:rFonts w:cs="Times New Roman"/>
          <w:sz w:val="22"/>
        </w:rPr>
        <w:t>8) becomes an</w:t>
      </w:r>
      <w:r w:rsidR="00DC68C8" w:rsidRPr="00DF69C7">
        <w:rPr>
          <w:rFonts w:cs="Times New Roman"/>
          <w:sz w:val="22"/>
        </w:rPr>
        <w:t xml:space="preserve"> </w:t>
      </w:r>
      <w:r w:rsidR="00A1703E" w:rsidRPr="00DF69C7">
        <w:rPr>
          <w:rFonts w:cs="Times New Roman"/>
          <w:sz w:val="22"/>
        </w:rPr>
        <w:t xml:space="preserve">indictment of the </w:t>
      </w:r>
      <w:r w:rsidR="00050A76" w:rsidRPr="00DF69C7">
        <w:rPr>
          <w:rFonts w:cs="Times New Roman"/>
          <w:sz w:val="22"/>
        </w:rPr>
        <w:t>“</w:t>
      </w:r>
      <w:r w:rsidR="00A1703E" w:rsidRPr="00DF69C7">
        <w:rPr>
          <w:rFonts w:cs="Times New Roman"/>
          <w:sz w:val="22"/>
        </w:rPr>
        <w:t>wicked and adulterous generation</w:t>
      </w:r>
      <w:r w:rsidR="00050A76" w:rsidRPr="00DF69C7">
        <w:rPr>
          <w:rFonts w:cs="Times New Roman"/>
          <w:sz w:val="22"/>
        </w:rPr>
        <w:t>” (12:39; 16:</w:t>
      </w:r>
      <w:r w:rsidR="00A1703E" w:rsidRPr="00DF69C7">
        <w:rPr>
          <w:rFonts w:cs="Times New Roman"/>
          <w:sz w:val="22"/>
        </w:rPr>
        <w:t>4).</w:t>
      </w:r>
    </w:p>
    <w:p w:rsidR="001441DE" w:rsidRDefault="001441DE" w:rsidP="006D063A"/>
    <w:p w:rsidR="00977E54" w:rsidRDefault="00977E54" w:rsidP="006D063A"/>
    <w:p w:rsidR="002C58FF" w:rsidRPr="006D063A" w:rsidRDefault="00AE74AB" w:rsidP="006D063A">
      <w:pPr>
        <w:rPr>
          <w:b/>
        </w:rPr>
      </w:pPr>
      <w:r w:rsidRPr="006D063A">
        <w:rPr>
          <w:b/>
        </w:rPr>
        <w:t xml:space="preserve">I. </w:t>
      </w:r>
      <w:r w:rsidR="00744F29" w:rsidRPr="006D063A">
        <w:rPr>
          <w:b/>
        </w:rPr>
        <w:tab/>
      </w:r>
      <w:r w:rsidR="002C58FF" w:rsidRPr="006D063A">
        <w:rPr>
          <w:b/>
        </w:rPr>
        <w:t>Introduction</w:t>
      </w:r>
    </w:p>
    <w:p w:rsidR="00051711" w:rsidRDefault="00975272" w:rsidP="006D063A">
      <w:r>
        <w:t>Jesus’</w:t>
      </w:r>
      <w:r w:rsidR="002C58FF">
        <w:t xml:space="preserve"> discussion of divorce in </w:t>
      </w:r>
      <w:r w:rsidR="00050A76">
        <w:t>Matt 19:</w:t>
      </w:r>
      <w:r w:rsidR="002C58FF">
        <w:t>1-12 has attracted substantial scholarly attention. Its location in the midst of the synoptic discussions on divorce (</w:t>
      </w:r>
      <w:r w:rsidR="00CA35C9">
        <w:t>Mark</w:t>
      </w:r>
      <w:r w:rsidR="002C58FF">
        <w:t xml:space="preserve"> </w:t>
      </w:r>
      <w:r w:rsidR="00E658DB">
        <w:t>10</w:t>
      </w:r>
      <w:r w:rsidR="00A13049">
        <w:t>:</w:t>
      </w:r>
      <w:r w:rsidR="002C58FF">
        <w:t xml:space="preserve">1-12; </w:t>
      </w:r>
      <w:r w:rsidR="00CA35C9">
        <w:t>Luke</w:t>
      </w:r>
      <w:r w:rsidR="00E658DB">
        <w:t xml:space="preserve"> 16</w:t>
      </w:r>
      <w:r w:rsidR="00A13049">
        <w:t>:</w:t>
      </w:r>
      <w:r w:rsidR="00E658DB">
        <w:t xml:space="preserve">18; cf. </w:t>
      </w:r>
      <w:r w:rsidR="00050A76">
        <w:t>Matt</w:t>
      </w:r>
      <w:r w:rsidR="00E658DB">
        <w:t xml:space="preserve"> 5</w:t>
      </w:r>
      <w:r w:rsidR="00A13049">
        <w:t>:</w:t>
      </w:r>
      <w:r w:rsidR="00A04A66">
        <w:t>31-32) has generated detailed studies</w:t>
      </w:r>
      <w:r w:rsidR="00D17F27">
        <w:t xml:space="preserve"> on its tradition history</w:t>
      </w:r>
      <w:r w:rsidR="00A04A66">
        <w:t>.</w:t>
      </w:r>
      <w:r w:rsidR="00D17F27">
        <w:rPr>
          <w:rStyle w:val="FootnoteReference"/>
        </w:rPr>
        <w:footnoteReference w:id="1"/>
      </w:r>
      <w:r w:rsidR="002C58FF">
        <w:t xml:space="preserve"> </w:t>
      </w:r>
      <w:r w:rsidR="00116A67">
        <w:t>The unique</w:t>
      </w:r>
      <w:r w:rsidR="00525AF7">
        <w:t>ly</w:t>
      </w:r>
      <w:r w:rsidR="00116A67">
        <w:t xml:space="preserve"> Matthean form of the question concerning whether it is lawful to divorce one’s wife </w:t>
      </w:r>
      <w:r w:rsidR="00050A76">
        <w:t>“</w:t>
      </w:r>
      <w:r w:rsidR="00116A67">
        <w:t>for any reason</w:t>
      </w:r>
      <w:r w:rsidR="00050A76">
        <w:t>”</w:t>
      </w:r>
      <w:r w:rsidR="00116A67">
        <w:t xml:space="preserve"> </w:t>
      </w:r>
      <w:r w:rsidR="00116A67" w:rsidRPr="00293B35">
        <w:t>(</w:t>
      </w:r>
      <w:r w:rsidR="00293B35" w:rsidRPr="00293B35">
        <w:t>κατ</w:t>
      </w:r>
      <w:r w:rsidR="00293B35" w:rsidRPr="00293B35">
        <w:rPr>
          <w:rFonts w:hAnsi="Times New Roman" w:cs="Times New Roman"/>
        </w:rPr>
        <w:t>ὰ</w:t>
      </w:r>
      <w:r w:rsidR="00293B35" w:rsidRPr="00293B35">
        <w:t xml:space="preserve"> π</w:t>
      </w:r>
      <w:r w:rsidR="00293B35" w:rsidRPr="00293B35">
        <w:rPr>
          <w:rFonts w:hAnsi="Times New Roman" w:cs="Times New Roman"/>
        </w:rPr>
        <w:t>ᾶ</w:t>
      </w:r>
      <w:r w:rsidR="00293B35" w:rsidRPr="00293B35">
        <w:t>σαν α</w:t>
      </w:r>
      <w:r w:rsidR="00293B35" w:rsidRPr="00293B35">
        <w:rPr>
          <w:rFonts w:hAnsi="Times New Roman" w:cs="Times New Roman"/>
        </w:rPr>
        <w:t>ἰ</w:t>
      </w:r>
      <w:r w:rsidR="00293B35" w:rsidRPr="00293B35">
        <w:t>τ</w:t>
      </w:r>
      <w:r w:rsidR="00293B35" w:rsidRPr="00293B35">
        <w:rPr>
          <w:rFonts w:hAnsi="Times New Roman" w:cs="Times New Roman"/>
        </w:rPr>
        <w:t>ί</w:t>
      </w:r>
      <w:r w:rsidR="00293B35" w:rsidRPr="00293B35">
        <w:t>αν</w:t>
      </w:r>
      <w:r w:rsidR="00116A67" w:rsidRPr="00293B35">
        <w:t>,</w:t>
      </w:r>
      <w:r w:rsidR="00116A67">
        <w:t xml:space="preserve"> </w:t>
      </w:r>
      <w:r w:rsidR="00293B35">
        <w:t>1</w:t>
      </w:r>
      <w:r w:rsidR="00116A67">
        <w:t>9</w:t>
      </w:r>
      <w:r w:rsidR="00A13049">
        <w:t>:</w:t>
      </w:r>
      <w:r w:rsidR="00116A67">
        <w:t>3) has also firmly located this discussion within Jewish legal discussions, and this Matthean passage has therefore been examined in light of the debate between the schools of Hillel and Shammai concerning legitimate grounds of d</w:t>
      </w:r>
      <w:r w:rsidR="0070005B">
        <w:t>ivorce</w:t>
      </w:r>
      <w:r w:rsidR="00116A67">
        <w:t>.</w:t>
      </w:r>
      <w:r w:rsidR="00116A67">
        <w:rPr>
          <w:rStyle w:val="FootnoteReference"/>
        </w:rPr>
        <w:footnoteReference w:id="2"/>
      </w:r>
      <w:r w:rsidR="00116A67">
        <w:t xml:space="preserve"> </w:t>
      </w:r>
      <w:r w:rsidR="00051711">
        <w:t xml:space="preserve">For those focusing on Matthew’s understanding of the Law, this passage has been </w:t>
      </w:r>
      <w:r w:rsidR="00C03892">
        <w:t>taken</w:t>
      </w:r>
      <w:r w:rsidR="00051711">
        <w:t xml:space="preserve"> as a direct challenge to the validity of the Law so that to </w:t>
      </w:r>
      <w:r w:rsidR="00050A76">
        <w:t>“</w:t>
      </w:r>
      <w:r w:rsidR="00051711">
        <w:t>obey the commandments of the law</w:t>
      </w:r>
      <w:r w:rsidR="00050A76">
        <w:t>”</w:t>
      </w:r>
      <w:r w:rsidR="00051711">
        <w:t xml:space="preserve"> is to </w:t>
      </w:r>
      <w:r w:rsidR="00050A76">
        <w:t>“</w:t>
      </w:r>
      <w:r w:rsidR="00051711">
        <w:t>disobey the will of God</w:t>
      </w:r>
      <w:r w:rsidR="00311B78">
        <w:t>;”</w:t>
      </w:r>
      <w:r w:rsidR="00311B78">
        <w:rPr>
          <w:rStyle w:val="FootnoteReference"/>
        </w:rPr>
        <w:footnoteReference w:id="3"/>
      </w:r>
      <w:r w:rsidR="00311B78">
        <w:t xml:space="preserve"> </w:t>
      </w:r>
      <w:r w:rsidR="00051711">
        <w:t xml:space="preserve">others, however, see in this passage an attempt to </w:t>
      </w:r>
      <w:r w:rsidR="00050A76">
        <w:t>“</w:t>
      </w:r>
      <w:r w:rsidR="00051711">
        <w:t>rescue</w:t>
      </w:r>
      <w:r w:rsidR="00050A76">
        <w:t>”</w:t>
      </w:r>
      <w:r w:rsidR="00051711">
        <w:t xml:space="preserve"> the Mosaic Law </w:t>
      </w:r>
      <w:r w:rsidR="00050A76">
        <w:t>“</w:t>
      </w:r>
      <w:r w:rsidR="00051711">
        <w:t>from total abolition</w:t>
      </w:r>
      <w:r w:rsidR="00311B78">
        <w:t>.”</w:t>
      </w:r>
      <w:r w:rsidR="00311B78">
        <w:rPr>
          <w:rStyle w:val="FootnoteReference"/>
        </w:rPr>
        <w:footnoteReference w:id="4"/>
      </w:r>
      <w:r w:rsidR="00051711">
        <w:t xml:space="preserve"> </w:t>
      </w:r>
    </w:p>
    <w:p w:rsidR="00354E0B" w:rsidRDefault="00051711" w:rsidP="006D063A">
      <w:r>
        <w:tab/>
      </w:r>
      <w:r w:rsidR="00341EAD">
        <w:t>Turning to the concluding verses of this passage</w:t>
      </w:r>
      <w:r>
        <w:t>, the unique</w:t>
      </w:r>
      <w:r w:rsidR="00341EAD">
        <w:t>ly</w:t>
      </w:r>
      <w:r>
        <w:t xml:space="preserve"> Matthean </w:t>
      </w:r>
      <w:r w:rsidR="00341EAD">
        <w:t>reference</w:t>
      </w:r>
      <w:r>
        <w:t xml:space="preserve"> to the </w:t>
      </w:r>
      <w:r w:rsidR="00341EAD">
        <w:t>eunuchs (</w:t>
      </w:r>
      <w:r w:rsidR="00050A76">
        <w:t>19:</w:t>
      </w:r>
      <w:r w:rsidR="00341EAD">
        <w:t>10-12) has also produced divergent readings. Many still adhere to the traditional reading that considers this conclusion as pointing to Jesu</w:t>
      </w:r>
      <w:r w:rsidR="00975272">
        <w:t>s’</w:t>
      </w:r>
      <w:r w:rsidR="00341EAD">
        <w:t xml:space="preserve"> affirmation of a celibate life</w:t>
      </w:r>
      <w:r w:rsidR="000D47AD">
        <w:t>,</w:t>
      </w:r>
      <w:r w:rsidR="000D47AD">
        <w:rPr>
          <w:rStyle w:val="FootnoteReference"/>
        </w:rPr>
        <w:footnoteReference w:id="5"/>
      </w:r>
      <w:r w:rsidR="00341EAD">
        <w:t xml:space="preserve"> a life that he himself </w:t>
      </w:r>
      <w:r w:rsidR="00572807">
        <w:t>likely lived</w:t>
      </w:r>
      <w:r w:rsidR="00C95A79">
        <w:t>.</w:t>
      </w:r>
      <w:r w:rsidR="00C95A79">
        <w:rPr>
          <w:rStyle w:val="FootnoteReference"/>
        </w:rPr>
        <w:footnoteReference w:id="6"/>
      </w:r>
      <w:r w:rsidR="00C95A79">
        <w:t xml:space="preserve"> </w:t>
      </w:r>
      <w:r w:rsidR="007B21A1">
        <w:t>Dissatisfied with this reading, some</w:t>
      </w:r>
      <w:r w:rsidR="00341EAD">
        <w:t xml:space="preserve"> </w:t>
      </w:r>
      <w:r w:rsidR="007B21A1">
        <w:t xml:space="preserve">recent </w:t>
      </w:r>
      <w:r w:rsidR="00341EAD">
        <w:t>in</w:t>
      </w:r>
      <w:r w:rsidR="00C95A79">
        <w:t>terpreters have</w:t>
      </w:r>
      <w:r w:rsidR="00BC2BB9">
        <w:t xml:space="preserve"> </w:t>
      </w:r>
      <w:r w:rsidR="00C95A79">
        <w:t>see</w:t>
      </w:r>
      <w:r w:rsidR="00CE2C80">
        <w:t>n</w:t>
      </w:r>
      <w:r w:rsidR="00C95A79">
        <w:t xml:space="preserve"> in </w:t>
      </w:r>
      <w:r w:rsidR="00BC2BB9">
        <w:t xml:space="preserve">these </w:t>
      </w:r>
      <w:r w:rsidR="00C95A79">
        <w:t xml:space="preserve">eunuchs a symbol </w:t>
      </w:r>
      <w:r w:rsidR="00BC2BB9">
        <w:t xml:space="preserve">of </w:t>
      </w:r>
      <w:r w:rsidR="00050A76">
        <w:t>“</w:t>
      </w:r>
      <w:r w:rsidR="001F2FC1">
        <w:t>shame</w:t>
      </w:r>
      <w:r w:rsidR="0009372C">
        <w:t>;”</w:t>
      </w:r>
      <w:r w:rsidR="00BC2BB9">
        <w:t xml:space="preserve"> Jesus is therefore calling his disciples to adopt </w:t>
      </w:r>
      <w:r w:rsidR="00050A76">
        <w:t>“</w:t>
      </w:r>
      <w:r w:rsidR="00BC2BB9">
        <w:t>the values befitting the forthcoming Kingdom</w:t>
      </w:r>
      <w:r w:rsidR="00050A76">
        <w:t>”</w:t>
      </w:r>
      <w:r w:rsidR="00BC2BB9">
        <w:t xml:space="preserve"> even when they are </w:t>
      </w:r>
      <w:r w:rsidR="00050A76">
        <w:t>“</w:t>
      </w:r>
      <w:r w:rsidR="00BC2BB9">
        <w:t>stigmatized by others.</w:t>
      </w:r>
      <w:r w:rsidR="00D22F13">
        <w:t>”</w:t>
      </w:r>
      <w:r w:rsidR="00BC2BB9">
        <w:rPr>
          <w:rStyle w:val="FootnoteReference"/>
        </w:rPr>
        <w:footnoteReference w:id="7"/>
      </w:r>
    </w:p>
    <w:p w:rsidR="00352D6C" w:rsidRPr="00293B35" w:rsidRDefault="00354E0B" w:rsidP="006D063A">
      <w:pPr>
        <w:pStyle w:val="FootnoteText"/>
        <w:rPr>
          <w:rFonts w:ascii="Times New Roman" w:hAnsi="Times New Roman" w:cs="Times New Roman"/>
        </w:rPr>
      </w:pPr>
      <w:r>
        <w:tab/>
      </w:r>
      <w:r w:rsidR="007B21A1">
        <w:t>Scholarly</w:t>
      </w:r>
      <w:r w:rsidR="00061418">
        <w:t xml:space="preserve"> attention on </w:t>
      </w:r>
      <w:r w:rsidR="00050A76">
        <w:t>Matt</w:t>
      </w:r>
      <w:r w:rsidR="00061418">
        <w:t xml:space="preserve"> </w:t>
      </w:r>
      <w:r w:rsidR="00050A76">
        <w:t>19:</w:t>
      </w:r>
      <w:r w:rsidR="00061418">
        <w:t xml:space="preserve">1-12 </w:t>
      </w:r>
      <w:r w:rsidR="007B21A1">
        <w:t>has, however, focused o</w:t>
      </w:r>
      <w:r w:rsidR="00061418">
        <w:t xml:space="preserve">n the exception </w:t>
      </w:r>
      <w:r w:rsidR="00061418" w:rsidRPr="00293B35">
        <w:t xml:space="preserve">clause in v. 9: </w:t>
      </w:r>
      <w:r w:rsidR="00293B35" w:rsidRPr="00293B35">
        <w:t>μ</w:t>
      </w:r>
      <w:r w:rsidR="00293B35" w:rsidRPr="00293B35">
        <w:rPr>
          <w:rFonts w:hAnsi="Times New Roman" w:cs="Times New Roman"/>
        </w:rPr>
        <w:t>ὴ</w:t>
      </w:r>
      <w:r w:rsidR="00293B35" w:rsidRPr="00293B35">
        <w:t xml:space="preserve"> </w:t>
      </w:r>
      <w:r w:rsidR="00293B35" w:rsidRPr="00293B35">
        <w:rPr>
          <w:rFonts w:hAnsi="Times New Roman" w:cs="Times New Roman"/>
        </w:rPr>
        <w:t>ἐ</w:t>
      </w:r>
      <w:r w:rsidR="00293B35" w:rsidRPr="00293B35">
        <w:t>π</w:t>
      </w:r>
      <w:r w:rsidR="00293B35" w:rsidRPr="00293B35">
        <w:rPr>
          <w:rFonts w:hAnsi="Times New Roman" w:cs="Times New Roman"/>
        </w:rPr>
        <w:t>ὶ</w:t>
      </w:r>
      <w:r w:rsidR="00293B35" w:rsidRPr="00293B35">
        <w:t xml:space="preserve"> πορνε</w:t>
      </w:r>
      <w:r w:rsidR="00293B35" w:rsidRPr="00293B35">
        <w:rPr>
          <w:rFonts w:hAnsi="Times New Roman" w:cs="Times New Roman"/>
        </w:rPr>
        <w:t>ίᾳ</w:t>
      </w:r>
      <w:r w:rsidR="00061418" w:rsidRPr="00293B35">
        <w:t>.</w:t>
      </w:r>
      <w:r w:rsidR="008E715A" w:rsidRPr="00293B35">
        <w:t xml:space="preserve"> </w:t>
      </w:r>
      <w:r w:rsidR="00CF6269" w:rsidRPr="00293B35">
        <w:t>Sinc</w:t>
      </w:r>
      <w:r w:rsidR="00F81677" w:rsidRPr="00293B35">
        <w:t>e it only appears in Matthew, this clause</w:t>
      </w:r>
      <w:r w:rsidR="00CF6269">
        <w:t xml:space="preserve"> is often considered to be a</w:t>
      </w:r>
      <w:r w:rsidR="00F75597">
        <w:t xml:space="preserve"> </w:t>
      </w:r>
      <w:r w:rsidR="00F03F31">
        <w:t>case of Matthean redaction</w:t>
      </w:r>
      <w:r w:rsidR="00F75597">
        <w:t>,</w:t>
      </w:r>
      <w:r w:rsidR="00D22F13">
        <w:rPr>
          <w:rStyle w:val="FootnoteReference"/>
        </w:rPr>
        <w:footnoteReference w:id="8"/>
      </w:r>
      <w:r w:rsidR="00F75597">
        <w:t xml:space="preserve"> although some have suggested that it was found in Matthew’s source</w:t>
      </w:r>
      <w:r w:rsidR="00352D6C">
        <w:t>(s)</w:t>
      </w:r>
      <w:r w:rsidR="00F03F31">
        <w:rPr>
          <w:rStyle w:val="FootnoteReference"/>
        </w:rPr>
        <w:footnoteReference w:id="9"/>
      </w:r>
      <w:r w:rsidR="00F75597">
        <w:t xml:space="preserve"> if not coming from the historical Jes</w:t>
      </w:r>
      <w:r w:rsidR="00361D4F">
        <w:t>us himself</w:t>
      </w:r>
      <w:r w:rsidR="00F75597">
        <w:t>.</w:t>
      </w:r>
      <w:r w:rsidR="00361D4F">
        <w:rPr>
          <w:rStyle w:val="FootnoteReference"/>
        </w:rPr>
        <w:footnoteReference w:id="10"/>
      </w:r>
      <w:r w:rsidR="00F75597">
        <w:t xml:space="preserve"> </w:t>
      </w:r>
      <w:r w:rsidR="00997D9E">
        <w:t xml:space="preserve">The exact meaning of </w:t>
      </w:r>
      <w:r w:rsidR="00293B35">
        <w:rPr>
          <w:rFonts w:ascii="Times New Roman" w:hAnsi="Times New Roman" w:cs="Times New Roman"/>
        </w:rPr>
        <w:t>μὴ ἐπί</w:t>
      </w:r>
      <w:r w:rsidR="00997D9E" w:rsidRPr="00997D9E">
        <w:rPr>
          <w:rFonts w:cs="Times New Roman"/>
        </w:rPr>
        <w:t xml:space="preserve"> </w:t>
      </w:r>
      <w:r w:rsidR="00997D9E">
        <w:rPr>
          <w:rFonts w:cs="Times New Roman"/>
        </w:rPr>
        <w:t>has also been debated</w:t>
      </w:r>
      <w:r w:rsidR="003E0FF9">
        <w:rPr>
          <w:rFonts w:cs="Times New Roman"/>
        </w:rPr>
        <w:t>,</w:t>
      </w:r>
      <w:r w:rsidR="00997D9E">
        <w:rPr>
          <w:rFonts w:cs="Times New Roman"/>
        </w:rPr>
        <w:t xml:space="preserve"> but</w:t>
      </w:r>
      <w:r w:rsidR="00997D9E">
        <w:t xml:space="preserve"> most </w:t>
      </w:r>
      <w:r w:rsidR="007B21A1">
        <w:t>understand this to be</w:t>
      </w:r>
      <w:r w:rsidR="00997D9E">
        <w:t xml:space="preserve"> a</w:t>
      </w:r>
      <w:r w:rsidR="00CE2C80">
        <w:t>n</w:t>
      </w:r>
      <w:r w:rsidR="00997D9E">
        <w:t xml:space="preserve"> ellipsis for</w:t>
      </w:r>
      <w:r w:rsidR="00293B35">
        <w:t xml:space="preserve"> ε</w:t>
      </w:r>
      <w:r w:rsidR="00293B35">
        <w:rPr>
          <w:rFonts w:ascii="Times New Roman" w:hAnsi="Times New Roman" w:cs="Times New Roman"/>
        </w:rPr>
        <w:t>ἰ/ἐάν μὴ</w:t>
      </w:r>
      <w:r w:rsidR="00997D9E">
        <w:t xml:space="preserve"> </w:t>
      </w:r>
      <w:r w:rsidR="00293B35">
        <w:rPr>
          <w:rFonts w:ascii="Times New Roman" w:hAnsi="Times New Roman" w:cs="Times New Roman"/>
        </w:rPr>
        <w:t>ἐπί</w:t>
      </w:r>
      <w:r w:rsidR="00997D9E">
        <w:rPr>
          <w:rFonts w:cs="Times New Roman"/>
        </w:rPr>
        <w:t>; together with</w:t>
      </w:r>
      <w:r w:rsidR="00293B35">
        <w:rPr>
          <w:rFonts w:cs="Times New Roman"/>
        </w:rPr>
        <w:t xml:space="preserve"> παρεκτό</w:t>
      </w:r>
      <w:r w:rsidR="00293B35">
        <w:rPr>
          <w:rFonts w:ascii="Times New Roman" w:hAnsi="Times New Roman" w:cs="Times New Roman"/>
        </w:rPr>
        <w:t>ς</w:t>
      </w:r>
      <w:r w:rsidR="00293B35">
        <w:rPr>
          <w:rFonts w:cs="Times New Roman"/>
        </w:rPr>
        <w:t xml:space="preserve"> </w:t>
      </w:r>
      <w:r w:rsidR="00997D9E">
        <w:rPr>
          <w:rFonts w:cs="Times New Roman"/>
        </w:rPr>
        <w:t>of 5</w:t>
      </w:r>
      <w:r w:rsidR="00A13049">
        <w:rPr>
          <w:rFonts w:cs="Times New Roman"/>
        </w:rPr>
        <w:t>:</w:t>
      </w:r>
      <w:r w:rsidR="00997D9E">
        <w:rPr>
          <w:rFonts w:cs="Times New Roman"/>
        </w:rPr>
        <w:t xml:space="preserve">32 </w:t>
      </w:r>
      <w:r w:rsidR="007B21A1">
        <w:rPr>
          <w:rFonts w:cs="Times New Roman"/>
        </w:rPr>
        <w:t>the phrase</w:t>
      </w:r>
      <w:r w:rsidR="00352D6C">
        <w:rPr>
          <w:rFonts w:cs="Times New Roman"/>
        </w:rPr>
        <w:t xml:space="preserve"> acquire</w:t>
      </w:r>
      <w:r w:rsidR="007B21A1">
        <w:rPr>
          <w:rFonts w:cs="Times New Roman"/>
        </w:rPr>
        <w:t>s</w:t>
      </w:r>
      <w:r w:rsidR="00352D6C">
        <w:rPr>
          <w:rFonts w:cs="Times New Roman"/>
        </w:rPr>
        <w:t xml:space="preserve"> an exceptive sense</w:t>
      </w:r>
      <w:r w:rsidR="00997D9E">
        <w:rPr>
          <w:rFonts w:cs="Times New Roman"/>
        </w:rPr>
        <w:t xml:space="preserve">: </w:t>
      </w:r>
      <w:r w:rsidR="00050A76">
        <w:rPr>
          <w:rFonts w:cs="Times New Roman"/>
        </w:rPr>
        <w:t>“</w:t>
      </w:r>
      <w:r w:rsidR="00997D9E">
        <w:rPr>
          <w:rFonts w:cs="Times New Roman"/>
        </w:rPr>
        <w:t>except</w:t>
      </w:r>
      <w:r w:rsidR="00050A76">
        <w:rPr>
          <w:rFonts w:cs="Times New Roman"/>
        </w:rPr>
        <w:t>”</w:t>
      </w:r>
      <w:r w:rsidR="00997D9E">
        <w:rPr>
          <w:rFonts w:cs="Times New Roman"/>
        </w:rPr>
        <w:t xml:space="preserve"> or </w:t>
      </w:r>
      <w:r w:rsidR="00050A76">
        <w:rPr>
          <w:rFonts w:cs="Times New Roman"/>
        </w:rPr>
        <w:t>“</w:t>
      </w:r>
      <w:r w:rsidR="00997D9E">
        <w:rPr>
          <w:rFonts w:cs="Times New Roman"/>
        </w:rPr>
        <w:t>all but</w:t>
      </w:r>
      <w:r w:rsidR="00172BDE">
        <w:rPr>
          <w:rFonts w:cs="Times New Roman"/>
        </w:rPr>
        <w:t>.”</w:t>
      </w:r>
      <w:r w:rsidR="00997D9E">
        <w:rPr>
          <w:rStyle w:val="FootnoteReference"/>
          <w:rFonts w:cs="Times New Roman"/>
        </w:rPr>
        <w:footnoteReference w:id="11"/>
      </w:r>
      <w:r w:rsidR="00B46D90">
        <w:rPr>
          <w:rFonts w:cs="Times New Roman"/>
        </w:rPr>
        <w:t xml:space="preserve"> </w:t>
      </w:r>
      <w:r w:rsidR="00352D6C">
        <w:rPr>
          <w:rFonts w:cs="Times New Roman"/>
        </w:rPr>
        <w:t>Whether</w:t>
      </w:r>
      <w:r w:rsidR="00B46D90">
        <w:rPr>
          <w:rFonts w:cs="Times New Roman"/>
        </w:rPr>
        <w:t xml:space="preserve"> this exception clause is meant to qualify </w:t>
      </w:r>
      <w:r w:rsidR="002E0A75">
        <w:rPr>
          <w:rFonts w:cs="Times New Roman"/>
        </w:rPr>
        <w:t xml:space="preserve">only </w:t>
      </w:r>
      <w:r w:rsidR="00B46D90">
        <w:rPr>
          <w:rFonts w:cs="Times New Roman"/>
        </w:rPr>
        <w:t xml:space="preserve">the act of divorce </w:t>
      </w:r>
      <w:r w:rsidR="002E0A75">
        <w:rPr>
          <w:rFonts w:cs="Times New Roman"/>
        </w:rPr>
        <w:t>in the previous clause</w:t>
      </w:r>
      <w:r w:rsidR="005D1D22">
        <w:rPr>
          <w:rStyle w:val="FootnoteReference"/>
          <w:rFonts w:cs="Times New Roman"/>
        </w:rPr>
        <w:footnoteReference w:id="12"/>
      </w:r>
      <w:r w:rsidR="002E0A75">
        <w:rPr>
          <w:rFonts w:cs="Times New Roman"/>
        </w:rPr>
        <w:t xml:space="preserve"> or also the act of remarrying in the clause that follows</w:t>
      </w:r>
      <w:r w:rsidR="005D1D22">
        <w:rPr>
          <w:rStyle w:val="FootnoteReference"/>
          <w:rFonts w:cs="Times New Roman"/>
        </w:rPr>
        <w:footnoteReference w:id="13"/>
      </w:r>
      <w:r w:rsidR="005D1D22">
        <w:rPr>
          <w:rFonts w:cs="Times New Roman"/>
        </w:rPr>
        <w:t xml:space="preserve"> </w:t>
      </w:r>
      <w:r w:rsidR="002E0A75">
        <w:rPr>
          <w:rFonts w:cs="Times New Roman"/>
        </w:rPr>
        <w:t>continues to be debated.</w:t>
      </w:r>
      <w:r w:rsidR="00294FFE">
        <w:rPr>
          <w:rStyle w:val="FootnoteReference"/>
          <w:rFonts w:cs="Times New Roman"/>
        </w:rPr>
        <w:footnoteReference w:id="14"/>
      </w:r>
      <w:r w:rsidR="00352D6C">
        <w:rPr>
          <w:rFonts w:cs="Times New Roman"/>
        </w:rPr>
        <w:t xml:space="preserve"> Even more contentiously debated is the exact meaning of</w:t>
      </w:r>
      <w:r w:rsidR="00293B35">
        <w:rPr>
          <w:rFonts w:cs="Times New Roman"/>
        </w:rPr>
        <w:t xml:space="preserve"> πορνε</w:t>
      </w:r>
      <w:r w:rsidR="00293B35">
        <w:rPr>
          <w:rFonts w:ascii="Times New Roman" w:hAnsi="Times New Roman" w:cs="Times New Roman"/>
        </w:rPr>
        <w:t>ία</w:t>
      </w:r>
      <w:r w:rsidR="00352D6C">
        <w:rPr>
          <w:rFonts w:cs="Times New Roman"/>
        </w:rPr>
        <w:t xml:space="preserve">, although the majority of commentators continue to take this word as referring to certain </w:t>
      </w:r>
      <w:r w:rsidR="00583D69">
        <w:rPr>
          <w:rFonts w:cs="Times New Roman"/>
        </w:rPr>
        <w:t xml:space="preserve">acts </w:t>
      </w:r>
      <w:r w:rsidR="00EC5853">
        <w:rPr>
          <w:rFonts w:cs="Times New Roman"/>
        </w:rPr>
        <w:t xml:space="preserve">of </w:t>
      </w:r>
      <w:r w:rsidR="00352D6C">
        <w:rPr>
          <w:rFonts w:cs="Times New Roman"/>
        </w:rPr>
        <w:t xml:space="preserve">sexual unfaithfulness </w:t>
      </w:r>
      <w:r w:rsidR="00583D69">
        <w:rPr>
          <w:rFonts w:cs="Times New Roman"/>
        </w:rPr>
        <w:t>within</w:t>
      </w:r>
      <w:r w:rsidR="00352D6C">
        <w:rPr>
          <w:rFonts w:cs="Times New Roman"/>
        </w:rPr>
        <w:t xml:space="preserve"> </w:t>
      </w:r>
      <w:r w:rsidR="00EC5853">
        <w:rPr>
          <w:rFonts w:cs="Times New Roman"/>
        </w:rPr>
        <w:t xml:space="preserve">the </w:t>
      </w:r>
      <w:r w:rsidR="00352D6C">
        <w:rPr>
          <w:rFonts w:cs="Times New Roman"/>
        </w:rPr>
        <w:t xml:space="preserve">marital relationship. This debate will be </w:t>
      </w:r>
      <w:r w:rsidR="00EC5853">
        <w:rPr>
          <w:rFonts w:cs="Times New Roman"/>
        </w:rPr>
        <w:t xml:space="preserve">discussed </w:t>
      </w:r>
      <w:r w:rsidR="00352D6C">
        <w:rPr>
          <w:rFonts w:cs="Times New Roman"/>
        </w:rPr>
        <w:t>in more detail in the next section.</w:t>
      </w:r>
    </w:p>
    <w:p w:rsidR="00CC6CC9" w:rsidRDefault="00D902E2" w:rsidP="006D063A">
      <w:pPr>
        <w:pStyle w:val="FootnoteText"/>
        <w:ind w:firstLine="720"/>
        <w:rPr>
          <w:rFonts w:cs="Times New Roman"/>
        </w:rPr>
      </w:pPr>
      <w:r>
        <w:t xml:space="preserve">While this </w:t>
      </w:r>
      <w:r w:rsidR="00F81677">
        <w:t xml:space="preserve">brief </w:t>
      </w:r>
      <w:r>
        <w:t>survey of scholarship has demonstrated that that much attention has been devoted to the numerous details within the text and the tradition history behind</w:t>
      </w:r>
      <w:r w:rsidR="00772C53">
        <w:t xml:space="preserve"> the text, the literary context</w:t>
      </w:r>
      <w:r w:rsidR="007077D7">
        <w:t xml:space="preserve"> and the theological import</w:t>
      </w:r>
      <w:r>
        <w:t xml:space="preserve"> </w:t>
      </w:r>
      <w:r w:rsidR="00772C53">
        <w:t>of</w:t>
      </w:r>
      <w:r>
        <w:t xml:space="preserve"> this passage</w:t>
      </w:r>
      <w:r w:rsidR="00F81677">
        <w:t xml:space="preserve"> in general</w:t>
      </w:r>
      <w:r>
        <w:t xml:space="preserve">, </w:t>
      </w:r>
      <w:r w:rsidR="00F81677">
        <w:t>and the exception clause in particular, has</w:t>
      </w:r>
      <w:r>
        <w:t xml:space="preserve"> been ignored. </w:t>
      </w:r>
      <w:r w:rsidR="00583D69">
        <w:rPr>
          <w:rFonts w:cs="Times New Roman"/>
        </w:rPr>
        <w:t xml:space="preserve">After </w:t>
      </w:r>
      <w:r w:rsidR="005F11ED">
        <w:rPr>
          <w:rFonts w:cs="Times New Roman"/>
        </w:rPr>
        <w:t>Matthew’s</w:t>
      </w:r>
      <w:r w:rsidR="00583D69">
        <w:rPr>
          <w:rFonts w:cs="Times New Roman"/>
        </w:rPr>
        <w:t xml:space="preserve"> initial treatment of the issue of divorce in 5</w:t>
      </w:r>
      <w:r w:rsidR="00A13049">
        <w:rPr>
          <w:rFonts w:cs="Times New Roman"/>
        </w:rPr>
        <w:t>:</w:t>
      </w:r>
      <w:r w:rsidR="00583D69">
        <w:rPr>
          <w:rFonts w:cs="Times New Roman"/>
        </w:rPr>
        <w:t>31-32 where Jesu</w:t>
      </w:r>
      <w:r w:rsidR="00975272">
        <w:rPr>
          <w:rFonts w:cs="Times New Roman"/>
        </w:rPr>
        <w:t>s’</w:t>
      </w:r>
      <w:r w:rsidR="00583D69">
        <w:rPr>
          <w:rFonts w:cs="Times New Roman"/>
        </w:rPr>
        <w:t xml:space="preserve"> teaching is juxtaposed with the </w:t>
      </w:r>
      <w:r w:rsidR="00525AF7">
        <w:rPr>
          <w:rFonts w:cs="Times New Roman"/>
        </w:rPr>
        <w:t>Mosaic Law</w:t>
      </w:r>
      <w:r w:rsidR="00583D69">
        <w:rPr>
          <w:rFonts w:cs="Times New Roman"/>
        </w:rPr>
        <w:t xml:space="preserve"> (as mediated through first-century Jewish teachers),</w:t>
      </w:r>
      <w:r w:rsidR="005F11ED">
        <w:rPr>
          <w:rStyle w:val="FootnoteReference"/>
          <w:rFonts w:cs="Times New Roman"/>
        </w:rPr>
        <w:footnoteReference w:id="15"/>
      </w:r>
      <w:r w:rsidR="00583D69">
        <w:rPr>
          <w:rFonts w:cs="Times New Roman"/>
        </w:rPr>
        <w:t xml:space="preserve"> what</w:t>
      </w:r>
      <w:r w:rsidR="00525AF7">
        <w:rPr>
          <w:rFonts w:cs="Times New Roman"/>
        </w:rPr>
        <w:t xml:space="preserve"> is the function of this</w:t>
      </w:r>
      <w:r w:rsidR="005F11ED">
        <w:rPr>
          <w:rFonts w:cs="Times New Roman"/>
        </w:rPr>
        <w:t xml:space="preserve"> second lengthier</w:t>
      </w:r>
      <w:r w:rsidR="00583D69">
        <w:rPr>
          <w:rFonts w:cs="Times New Roman"/>
        </w:rPr>
        <w:t xml:space="preserve"> treatment of divorce in </w:t>
      </w:r>
      <w:r w:rsidR="00050A76">
        <w:rPr>
          <w:rFonts w:cs="Times New Roman"/>
        </w:rPr>
        <w:t>19:</w:t>
      </w:r>
      <w:r w:rsidR="00583D69">
        <w:rPr>
          <w:rFonts w:cs="Times New Roman"/>
        </w:rPr>
        <w:t xml:space="preserve">1-12? How does this divorce discussion contribute to both its immediate </w:t>
      </w:r>
      <w:r w:rsidR="005F11ED">
        <w:rPr>
          <w:rFonts w:cs="Times New Roman"/>
        </w:rPr>
        <w:t>(</w:t>
      </w:r>
      <w:r w:rsidR="00050A76">
        <w:rPr>
          <w:rFonts w:cs="Times New Roman"/>
        </w:rPr>
        <w:t>19:</w:t>
      </w:r>
      <w:r w:rsidR="005F11ED">
        <w:rPr>
          <w:rFonts w:cs="Times New Roman"/>
        </w:rPr>
        <w:t>1</w:t>
      </w:r>
      <w:r w:rsidR="00583D69">
        <w:rPr>
          <w:rFonts w:cs="Times New Roman"/>
        </w:rPr>
        <w:t>-</w:t>
      </w:r>
      <w:r w:rsidR="00050A76">
        <w:rPr>
          <w:rFonts w:cs="Times New Roman"/>
        </w:rPr>
        <w:t>20:</w:t>
      </w:r>
      <w:r w:rsidR="00583D69">
        <w:rPr>
          <w:rFonts w:cs="Times New Roman"/>
        </w:rPr>
        <w:t>16) and wider c</w:t>
      </w:r>
      <w:r w:rsidR="005F11ED">
        <w:rPr>
          <w:rFonts w:cs="Times New Roman"/>
        </w:rPr>
        <w:t>ontext</w:t>
      </w:r>
      <w:r>
        <w:rPr>
          <w:rFonts w:cs="Times New Roman"/>
        </w:rPr>
        <w:t>s</w:t>
      </w:r>
      <w:r w:rsidR="005F11ED">
        <w:rPr>
          <w:rFonts w:cs="Times New Roman"/>
        </w:rPr>
        <w:t xml:space="preserve"> (16</w:t>
      </w:r>
      <w:r w:rsidR="00D87640">
        <w:rPr>
          <w:rFonts w:cs="Times New Roman"/>
        </w:rPr>
        <w:t>:</w:t>
      </w:r>
      <w:r w:rsidR="005F11ED">
        <w:rPr>
          <w:rFonts w:cs="Times New Roman"/>
        </w:rPr>
        <w:t>21-18</w:t>
      </w:r>
      <w:r w:rsidR="00D87640">
        <w:rPr>
          <w:rFonts w:cs="Times New Roman"/>
        </w:rPr>
        <w:t>:</w:t>
      </w:r>
      <w:r w:rsidR="005F11ED">
        <w:rPr>
          <w:rFonts w:cs="Times New Roman"/>
        </w:rPr>
        <w:t xml:space="preserve">35; </w:t>
      </w:r>
      <w:r w:rsidR="00050A76">
        <w:rPr>
          <w:rFonts w:cs="Times New Roman"/>
        </w:rPr>
        <w:t>20:</w:t>
      </w:r>
      <w:r w:rsidR="005F11ED">
        <w:rPr>
          <w:rFonts w:cs="Times New Roman"/>
        </w:rPr>
        <w:t>17-23</w:t>
      </w:r>
      <w:r w:rsidR="00D87640">
        <w:rPr>
          <w:rFonts w:cs="Times New Roman"/>
        </w:rPr>
        <w:t>:</w:t>
      </w:r>
      <w:r w:rsidR="005F11ED">
        <w:rPr>
          <w:rFonts w:cs="Times New Roman"/>
        </w:rPr>
        <w:t xml:space="preserve">39) in Matthew’s </w:t>
      </w:r>
      <w:r>
        <w:rPr>
          <w:rFonts w:cs="Times New Roman"/>
        </w:rPr>
        <w:t>G</w:t>
      </w:r>
      <w:r w:rsidR="005F11ED">
        <w:rPr>
          <w:rFonts w:cs="Times New Roman"/>
        </w:rPr>
        <w:t>ospel?</w:t>
      </w:r>
    </w:p>
    <w:p w:rsidR="00FA4A95" w:rsidRDefault="00FA4A95" w:rsidP="006D063A">
      <w:pPr>
        <w:pStyle w:val="FootnoteText"/>
      </w:pPr>
      <w:r>
        <w:rPr>
          <w:rFonts w:cs="Times New Roman"/>
        </w:rPr>
        <w:tab/>
        <w:t>As Jesus provides a legal exposition of the Mosaic Law found in Deut 24</w:t>
      </w:r>
      <w:r w:rsidR="00D87640">
        <w:rPr>
          <w:rFonts w:cs="Times New Roman"/>
        </w:rPr>
        <w:t>:</w:t>
      </w:r>
      <w:r>
        <w:rPr>
          <w:rFonts w:cs="Times New Roman"/>
        </w:rPr>
        <w:t xml:space="preserve">1-4, we shall suggest that Matthew is locating this exposition within the wider prophetic interpretation of the same </w:t>
      </w:r>
      <w:r w:rsidR="00D13D15">
        <w:rPr>
          <w:rFonts w:cs="Times New Roman"/>
        </w:rPr>
        <w:t>Deuteronomy passage</w:t>
      </w:r>
      <w:r>
        <w:rPr>
          <w:rFonts w:cs="Times New Roman"/>
        </w:rPr>
        <w:t xml:space="preserve"> where God’s people </w:t>
      </w:r>
      <w:r w:rsidR="00FA32D7">
        <w:rPr>
          <w:rFonts w:cs="Times New Roman"/>
        </w:rPr>
        <w:t xml:space="preserve">are </w:t>
      </w:r>
      <w:r>
        <w:rPr>
          <w:rFonts w:cs="Times New Roman"/>
        </w:rPr>
        <w:t>accused of being unfaith</w:t>
      </w:r>
      <w:r w:rsidR="001441DE">
        <w:rPr>
          <w:rFonts w:cs="Times New Roman"/>
        </w:rPr>
        <w:t>ful to their covenantal partner. A</w:t>
      </w:r>
      <w:r>
        <w:rPr>
          <w:rFonts w:cs="Times New Roman"/>
        </w:rPr>
        <w:t>s a result</w:t>
      </w:r>
      <w:r w:rsidR="001441DE">
        <w:rPr>
          <w:rFonts w:cs="Times New Roman"/>
        </w:rPr>
        <w:t xml:space="preserve"> of their unfaithfulness,</w:t>
      </w:r>
      <w:r>
        <w:rPr>
          <w:rFonts w:cs="Times New Roman"/>
        </w:rPr>
        <w:t xml:space="preserve"> God has the right to divorce </w:t>
      </w:r>
      <w:r w:rsidRPr="00FA32D7">
        <w:t xml:space="preserve">them. </w:t>
      </w:r>
      <w:r w:rsidR="00FA32D7" w:rsidRPr="00FA32D7">
        <w:t>This Matthean divorce text therefore plays a significant</w:t>
      </w:r>
      <w:r w:rsidR="00DC68C8">
        <w:t xml:space="preserve"> theological</w:t>
      </w:r>
      <w:r w:rsidR="00FA32D7" w:rsidRPr="00FA32D7">
        <w:t xml:space="preserve"> role in both its immediate and wider contexts where both the issues of the identity of God’s renewed people and the rejection of God and his prophet by his own people are addressed. </w:t>
      </w:r>
      <w:r w:rsidR="00A15229" w:rsidRPr="00FA32D7">
        <w:t>A</w:t>
      </w:r>
      <w:r w:rsidR="00A15229">
        <w:rPr>
          <w:rFonts w:cs="Times New Roman"/>
        </w:rPr>
        <w:t xml:space="preserve"> legal discussion of marital unfaithfulness </w:t>
      </w:r>
      <w:r w:rsidR="001A0B2B">
        <w:rPr>
          <w:rFonts w:cs="Times New Roman"/>
        </w:rPr>
        <w:t xml:space="preserve">addressed to those </w:t>
      </w:r>
      <w:r w:rsidR="00FA32D7">
        <w:rPr>
          <w:rFonts w:cs="Times New Roman"/>
        </w:rPr>
        <w:t xml:space="preserve">who </w:t>
      </w:r>
      <w:r w:rsidR="00D66CC2">
        <w:rPr>
          <w:rFonts w:cs="Times New Roman"/>
        </w:rPr>
        <w:t>have</w:t>
      </w:r>
      <w:r w:rsidR="00F83B35">
        <w:rPr>
          <w:rFonts w:cs="Times New Roman"/>
        </w:rPr>
        <w:t xml:space="preserve"> </w:t>
      </w:r>
      <w:r w:rsidR="00050A76">
        <w:rPr>
          <w:rFonts w:cs="Times New Roman"/>
        </w:rPr>
        <w:t>“</w:t>
      </w:r>
      <w:r w:rsidR="00D66CC2">
        <w:rPr>
          <w:rFonts w:cs="Times New Roman"/>
        </w:rPr>
        <w:t xml:space="preserve">hard </w:t>
      </w:r>
      <w:r w:rsidR="00F83B35">
        <w:rPr>
          <w:rFonts w:cs="Times New Roman"/>
        </w:rPr>
        <w:t>heart</w:t>
      </w:r>
      <w:r w:rsidR="00D66CC2">
        <w:rPr>
          <w:rFonts w:cs="Times New Roman"/>
        </w:rPr>
        <w:t>s</w:t>
      </w:r>
      <w:r w:rsidR="00050A76">
        <w:rPr>
          <w:rFonts w:cs="Times New Roman"/>
        </w:rPr>
        <w:t>”</w:t>
      </w:r>
      <w:r w:rsidR="001A0B2B">
        <w:rPr>
          <w:rFonts w:cs="Times New Roman"/>
        </w:rPr>
        <w:t xml:space="preserve"> (</w:t>
      </w:r>
      <w:r w:rsidR="00050A76">
        <w:rPr>
          <w:rFonts w:cs="Times New Roman"/>
        </w:rPr>
        <w:t>19:</w:t>
      </w:r>
      <w:r w:rsidR="001A0B2B">
        <w:rPr>
          <w:rFonts w:cs="Times New Roman"/>
        </w:rPr>
        <w:t>8)</w:t>
      </w:r>
      <w:r>
        <w:rPr>
          <w:rFonts w:cs="Times New Roman"/>
        </w:rPr>
        <w:t xml:space="preserve"> becomes an indictment of </w:t>
      </w:r>
      <w:r w:rsidR="001A0B2B">
        <w:rPr>
          <w:rFonts w:cs="Times New Roman"/>
        </w:rPr>
        <w:t xml:space="preserve">the </w:t>
      </w:r>
      <w:r w:rsidR="00050A76">
        <w:rPr>
          <w:rFonts w:cs="Times New Roman"/>
        </w:rPr>
        <w:t>“</w:t>
      </w:r>
      <w:r w:rsidR="001A0B2B">
        <w:rPr>
          <w:rFonts w:cs="Times New Roman"/>
        </w:rPr>
        <w:t>wicked and adulterous generation</w:t>
      </w:r>
      <w:r w:rsidR="00050A76">
        <w:rPr>
          <w:rFonts w:cs="Times New Roman"/>
        </w:rPr>
        <w:t>”</w:t>
      </w:r>
      <w:r w:rsidR="00D87640">
        <w:rPr>
          <w:rFonts w:cs="Times New Roman"/>
        </w:rPr>
        <w:t xml:space="preserve"> (12:39; 16:</w:t>
      </w:r>
      <w:r w:rsidR="001A0B2B">
        <w:rPr>
          <w:rFonts w:cs="Times New Roman"/>
        </w:rPr>
        <w:t>4</w:t>
      </w:r>
      <w:r w:rsidR="00A15229">
        <w:rPr>
          <w:rFonts w:cs="Times New Roman"/>
        </w:rPr>
        <w:t>).</w:t>
      </w:r>
    </w:p>
    <w:p w:rsidR="00FA4A95" w:rsidRDefault="00FA4A95" w:rsidP="006D063A">
      <w:pPr>
        <w:pStyle w:val="FootnoteText"/>
      </w:pPr>
      <w:r>
        <w:tab/>
        <w:t xml:space="preserve">Before examining the function of this divorce text within its </w:t>
      </w:r>
      <w:r w:rsidR="000E6E85">
        <w:t>context</w:t>
      </w:r>
      <w:r>
        <w:t xml:space="preserve">, however, we must return to the question of the meaning of </w:t>
      </w:r>
      <w:r w:rsidR="00293B35">
        <w:rPr>
          <w:rFonts w:cs="Times New Roman"/>
        </w:rPr>
        <w:t>πορνε</w:t>
      </w:r>
      <w:r w:rsidR="00293B35">
        <w:rPr>
          <w:rFonts w:ascii="Times New Roman" w:hAnsi="Times New Roman" w:cs="Times New Roman"/>
        </w:rPr>
        <w:t>ία</w:t>
      </w:r>
      <w:r w:rsidR="00293B35">
        <w:t xml:space="preserve"> </w:t>
      </w:r>
      <w:r>
        <w:t xml:space="preserve">in </w:t>
      </w:r>
      <w:r w:rsidR="00050A76">
        <w:t>19:</w:t>
      </w:r>
      <w:r>
        <w:t>9.</w:t>
      </w:r>
    </w:p>
    <w:p w:rsidR="00FA4A95" w:rsidRDefault="00FA4A95" w:rsidP="006D063A">
      <w:pPr>
        <w:pStyle w:val="FootnoteText"/>
      </w:pPr>
    </w:p>
    <w:p w:rsidR="00FA4A95" w:rsidRPr="006D063A" w:rsidRDefault="00AE74AB" w:rsidP="006D063A">
      <w:pPr>
        <w:pStyle w:val="FootnoteText"/>
        <w:rPr>
          <w:b/>
        </w:rPr>
      </w:pPr>
      <w:r w:rsidRPr="006D063A">
        <w:rPr>
          <w:b/>
        </w:rPr>
        <w:t xml:space="preserve">II. </w:t>
      </w:r>
      <w:r w:rsidR="00744F29" w:rsidRPr="006D063A">
        <w:rPr>
          <w:b/>
        </w:rPr>
        <w:tab/>
      </w:r>
      <w:r w:rsidR="00E12002" w:rsidRPr="006D063A">
        <w:rPr>
          <w:rFonts w:ascii="Times New Roman" w:hAnsi="Times New Roman" w:cs="Times New Roman"/>
          <w:b/>
        </w:rPr>
        <w:t>Πορνεία</w:t>
      </w:r>
      <w:r w:rsidR="00FA4A95" w:rsidRPr="006D063A">
        <w:rPr>
          <w:b/>
        </w:rPr>
        <w:t xml:space="preserve"> as </w:t>
      </w:r>
      <w:r w:rsidR="00E34B8B" w:rsidRPr="006D063A">
        <w:rPr>
          <w:b/>
        </w:rPr>
        <w:t>Adultery</w:t>
      </w:r>
    </w:p>
    <w:p w:rsidR="00814232" w:rsidRDefault="00AF6930" w:rsidP="006D063A">
      <w:pPr>
        <w:pStyle w:val="FootnoteText"/>
        <w:tabs>
          <w:tab w:val="left" w:pos="4680"/>
        </w:tabs>
      </w:pPr>
      <w:r>
        <w:t>In New Testament and Early Christian literature, the semantic range of</w:t>
      </w:r>
      <w:r w:rsidR="008423F0">
        <w:t xml:space="preserve"> πορνεία </w:t>
      </w:r>
      <w:r>
        <w:t xml:space="preserve">includes </w:t>
      </w:r>
      <w:r w:rsidR="00050A76">
        <w:t>“</w:t>
      </w:r>
      <w:r>
        <w:t>unlawful sexual intercourse</w:t>
      </w:r>
      <w:r w:rsidR="00814232">
        <w:t xml:space="preserve">, </w:t>
      </w:r>
      <w:r w:rsidR="0023035A">
        <w:t>prostitution, unchastity, fornication</w:t>
      </w:r>
      <w:r w:rsidR="00050A76">
        <w:t>”</w:t>
      </w:r>
      <w:r w:rsidR="0023035A">
        <w:t xml:space="preserve"> and the </w:t>
      </w:r>
      <w:r w:rsidR="00050A76">
        <w:t>“</w:t>
      </w:r>
      <w:r w:rsidR="0023035A">
        <w:t xml:space="preserve">participation in </w:t>
      </w:r>
      <w:r w:rsidR="00116A67">
        <w:t>prohibited</w:t>
      </w:r>
      <w:r w:rsidR="0023035A">
        <w:t xml:space="preserve"> </w:t>
      </w:r>
      <w:r w:rsidR="00116A67">
        <w:t>degrees</w:t>
      </w:r>
      <w:r w:rsidR="0023035A">
        <w:t xml:space="preserve"> of marriage</w:t>
      </w:r>
      <w:r w:rsidR="00D87640">
        <w:t>.</w:t>
      </w:r>
      <w:r w:rsidR="00050A76">
        <w:t>”</w:t>
      </w:r>
      <w:r w:rsidR="00D87640">
        <w:rPr>
          <w:rStyle w:val="FootnoteReference"/>
        </w:rPr>
        <w:footnoteReference w:id="16"/>
      </w:r>
      <w:r w:rsidR="0023035A">
        <w:t xml:space="preserve"> </w:t>
      </w:r>
      <w:r w:rsidR="00116A67">
        <w:t>A similar range of possible meanings has</w:t>
      </w:r>
      <w:r w:rsidR="0023035A">
        <w:t xml:space="preserve"> been proposed </w:t>
      </w:r>
      <w:r w:rsidR="0033794F">
        <w:t xml:space="preserve">for </w:t>
      </w:r>
      <w:r w:rsidR="0023035A">
        <w:t xml:space="preserve">the reading of </w:t>
      </w:r>
      <w:r w:rsidR="00293B35">
        <w:rPr>
          <w:rFonts w:cs="Times New Roman"/>
        </w:rPr>
        <w:t>πορνε</w:t>
      </w:r>
      <w:r w:rsidR="00293B35">
        <w:rPr>
          <w:rFonts w:ascii="Times New Roman" w:hAnsi="Times New Roman" w:cs="Times New Roman"/>
        </w:rPr>
        <w:t>ία</w:t>
      </w:r>
      <w:r w:rsidR="00293B35">
        <w:t xml:space="preserve"> </w:t>
      </w:r>
      <w:r w:rsidR="0023035A">
        <w:t xml:space="preserve">in </w:t>
      </w:r>
      <w:r w:rsidR="00050A76">
        <w:t>Matt</w:t>
      </w:r>
      <w:r w:rsidR="0023035A">
        <w:t xml:space="preserve"> </w:t>
      </w:r>
      <w:r w:rsidR="00050A76">
        <w:t>19:</w:t>
      </w:r>
      <w:r w:rsidR="0023035A">
        <w:t>9 (cf. 5</w:t>
      </w:r>
      <w:r w:rsidR="00D87640">
        <w:t>:</w:t>
      </w:r>
      <w:r w:rsidR="0023035A">
        <w:t xml:space="preserve">32). Several </w:t>
      </w:r>
      <w:r w:rsidR="0033794F">
        <w:t xml:space="preserve">possible definitions </w:t>
      </w:r>
      <w:r w:rsidR="0023035A">
        <w:t xml:space="preserve">can be readily dismissed. Reading </w:t>
      </w:r>
      <w:r w:rsidR="00050A76">
        <w:t>Matt</w:t>
      </w:r>
      <w:r w:rsidR="0023035A">
        <w:t xml:space="preserve"> </w:t>
      </w:r>
      <w:r w:rsidR="00050A76">
        <w:t>19:</w:t>
      </w:r>
      <w:r w:rsidR="00D87640">
        <w:t>9 in light of Lev 21:</w:t>
      </w:r>
      <w:r w:rsidR="00724BE9">
        <w:t>7</w:t>
      </w:r>
      <w:r w:rsidR="0023035A">
        <w:t xml:space="preserve">, some </w:t>
      </w:r>
      <w:r w:rsidR="00C56ECD">
        <w:t xml:space="preserve">consider </w:t>
      </w:r>
      <w:r w:rsidR="0023035A">
        <w:t xml:space="preserve">premarital sex as the meaning of </w:t>
      </w:r>
      <w:r w:rsidR="00293B35">
        <w:rPr>
          <w:rFonts w:cs="Times New Roman"/>
        </w:rPr>
        <w:t>πορνε</w:t>
      </w:r>
      <w:r w:rsidR="00293B35">
        <w:rPr>
          <w:rFonts w:ascii="Times New Roman" w:hAnsi="Times New Roman" w:cs="Times New Roman"/>
        </w:rPr>
        <w:t>ία</w:t>
      </w:r>
      <w:r w:rsidR="0023035A">
        <w:t>.</w:t>
      </w:r>
      <w:r w:rsidR="00D87640">
        <w:rPr>
          <w:rStyle w:val="FootnoteReference"/>
        </w:rPr>
        <w:footnoteReference w:id="17"/>
      </w:r>
      <w:r w:rsidR="0023035A">
        <w:t xml:space="preserve"> In light of the fact that Jesus is dealing with Deut</w:t>
      </w:r>
      <w:r w:rsidR="007077D7">
        <w:t>eronomy</w:t>
      </w:r>
      <w:r w:rsidR="0023035A">
        <w:t xml:space="preserve"> 24 and not Lev</w:t>
      </w:r>
      <w:r w:rsidR="007077D7">
        <w:t>iticus</w:t>
      </w:r>
      <w:r w:rsidR="0023035A">
        <w:t xml:space="preserve"> 21 here, the relevance of </w:t>
      </w:r>
      <w:r w:rsidR="00A13049">
        <w:t>Lev</w:t>
      </w:r>
      <w:r w:rsidR="00724BE9">
        <w:t xml:space="preserve"> 21</w:t>
      </w:r>
      <w:r w:rsidR="00A13049">
        <w:t>:</w:t>
      </w:r>
      <w:r w:rsidR="00724BE9">
        <w:t>7</w:t>
      </w:r>
      <w:r w:rsidR="0023035A">
        <w:t xml:space="preserve"> </w:t>
      </w:r>
      <w:r w:rsidR="00724BE9">
        <w:t>must</w:t>
      </w:r>
      <w:r w:rsidR="0023035A">
        <w:t xml:space="preserve"> be questioned. Moreover, since the issue is marriage and grounds for divorce, </w:t>
      </w:r>
      <w:r w:rsidR="004F3A52">
        <w:t xml:space="preserve">sexual acts during marriage seem to be </w:t>
      </w:r>
      <w:r w:rsidR="0033794F">
        <w:t xml:space="preserve">in </w:t>
      </w:r>
      <w:r w:rsidR="004F3A52">
        <w:t xml:space="preserve">view. Others have proposed </w:t>
      </w:r>
      <w:r w:rsidR="00E82B53">
        <w:t>the meaning of polygamy</w:t>
      </w:r>
      <w:r w:rsidR="004F3A52">
        <w:t>,</w:t>
      </w:r>
      <w:r w:rsidR="00E82B53">
        <w:rPr>
          <w:rStyle w:val="FootnoteReference"/>
        </w:rPr>
        <w:footnoteReference w:id="18"/>
      </w:r>
      <w:r w:rsidR="004F3A52">
        <w:t xml:space="preserve"> but </w:t>
      </w:r>
      <w:r w:rsidR="00836CC6">
        <w:t xml:space="preserve">this </w:t>
      </w:r>
      <w:r w:rsidR="00814232">
        <w:t>would</w:t>
      </w:r>
      <w:r w:rsidR="00836CC6">
        <w:t xml:space="preserve"> hardly be an issue among the Jews (or Jewish Christians)</w:t>
      </w:r>
      <w:r w:rsidR="0069199B">
        <w:rPr>
          <w:rFonts w:hint="eastAsia"/>
          <w:lang w:eastAsia="zh-TW"/>
        </w:rPr>
        <w:t>,</w:t>
      </w:r>
      <w:r w:rsidR="00836CC6">
        <w:t xml:space="preserve"> especially </w:t>
      </w:r>
      <w:r w:rsidR="0033794F">
        <w:t>beca</w:t>
      </w:r>
      <w:r w:rsidR="00FA32D7">
        <w:t>us</w:t>
      </w:r>
      <w:r w:rsidR="0033794F">
        <w:t xml:space="preserve">e </w:t>
      </w:r>
      <w:r w:rsidR="00814232">
        <w:t>this exception clause addresses</w:t>
      </w:r>
      <w:r w:rsidR="00836CC6">
        <w:t xml:space="preserve"> married women</w:t>
      </w:r>
      <w:r w:rsidR="0069199B">
        <w:rPr>
          <w:rFonts w:hint="eastAsia"/>
          <w:lang w:eastAsia="zh-TW"/>
        </w:rPr>
        <w:t>,</w:t>
      </w:r>
      <w:r w:rsidR="00836CC6">
        <w:t xml:space="preserve"> although a prohibition against ad</w:t>
      </w:r>
      <w:r w:rsidR="00C56ECD">
        <w:t>ultery does effectively rule out</w:t>
      </w:r>
      <w:r w:rsidR="00836CC6">
        <w:t xml:space="preserve"> polygamy for the men involved.</w:t>
      </w:r>
      <w:r w:rsidR="00814232">
        <w:t xml:space="preserve"> </w:t>
      </w:r>
    </w:p>
    <w:p w:rsidR="00747326" w:rsidRDefault="00116A67" w:rsidP="006D063A">
      <w:pPr>
        <w:pStyle w:val="FootnoteText"/>
        <w:ind w:firstLine="720"/>
      </w:pPr>
      <w:r>
        <w:t>The remaining three suggestions deserve more serious consideration: incestuous relationship</w:t>
      </w:r>
      <w:r w:rsidR="0069199B">
        <w:rPr>
          <w:rFonts w:hint="eastAsia"/>
          <w:lang w:eastAsia="zh-TW"/>
        </w:rPr>
        <w:t>s</w:t>
      </w:r>
      <w:r>
        <w:t xml:space="preserve">, general sexual immorality, and adultery. </w:t>
      </w:r>
      <w:r w:rsidR="0034790D">
        <w:t>First proposed b</w:t>
      </w:r>
      <w:r w:rsidR="007C6D0C">
        <w:t>y Joseph Bonsirven</w:t>
      </w:r>
      <w:r w:rsidR="00E34B8B">
        <w:t>,</w:t>
      </w:r>
      <w:r w:rsidR="00E82B53">
        <w:rPr>
          <w:rStyle w:val="FootnoteReference"/>
        </w:rPr>
        <w:footnoteReference w:id="19"/>
      </w:r>
      <w:r w:rsidR="00E34B8B">
        <w:t xml:space="preserve"> </w:t>
      </w:r>
      <w:r w:rsidR="00293B35">
        <w:rPr>
          <w:rFonts w:cs="Times New Roman"/>
        </w:rPr>
        <w:t>πορνε</w:t>
      </w:r>
      <w:r w:rsidR="00293B35">
        <w:rPr>
          <w:rFonts w:ascii="Times New Roman" w:hAnsi="Times New Roman" w:cs="Times New Roman"/>
        </w:rPr>
        <w:t>ία</w:t>
      </w:r>
      <w:r w:rsidR="00293B35">
        <w:t xml:space="preserve"> </w:t>
      </w:r>
      <w:r w:rsidR="00A077CC">
        <w:t>as incestu</w:t>
      </w:r>
      <w:r w:rsidR="00E34B8B">
        <w:t>ous relationship</w:t>
      </w:r>
      <w:r w:rsidR="0069199B">
        <w:rPr>
          <w:rFonts w:hint="eastAsia"/>
          <w:lang w:eastAsia="zh-TW"/>
        </w:rPr>
        <w:t>s</w:t>
      </w:r>
      <w:r w:rsidR="00E34B8B">
        <w:t xml:space="preserve"> has gained considerable support</w:t>
      </w:r>
      <w:r w:rsidR="00A077CC">
        <w:t xml:space="preserve"> </w:t>
      </w:r>
      <w:r w:rsidR="007C6D0C">
        <w:t>among biblical scholars</w:t>
      </w:r>
      <w:r w:rsidR="00A077CC">
        <w:t>.</w:t>
      </w:r>
      <w:r w:rsidR="007C6D0C">
        <w:rPr>
          <w:rStyle w:val="FootnoteReference"/>
        </w:rPr>
        <w:footnoteReference w:id="20"/>
      </w:r>
      <w:r w:rsidR="00A077CC">
        <w:t xml:space="preserve"> Similar </w:t>
      </w:r>
      <w:r w:rsidR="003B3153">
        <w:t>reference</w:t>
      </w:r>
      <w:r w:rsidR="00BF3CA7">
        <w:t>s</w:t>
      </w:r>
      <w:r w:rsidR="00A077CC">
        <w:t xml:space="preserve"> can possibly be found in the use of this word in other New Testament documents (e.g. Acts 15</w:t>
      </w:r>
      <w:r w:rsidR="00A13049">
        <w:t>:</w:t>
      </w:r>
      <w:r w:rsidR="00A077CC">
        <w:t>20, 29; 21</w:t>
      </w:r>
      <w:r w:rsidR="00A13049">
        <w:t>:</w:t>
      </w:r>
      <w:r w:rsidR="00A077CC">
        <w:t>25; 1 Cor 5</w:t>
      </w:r>
      <w:r w:rsidR="00D32A5D">
        <w:t>:</w:t>
      </w:r>
      <w:r w:rsidR="00A077CC">
        <w:t>1)</w:t>
      </w:r>
      <w:r w:rsidR="00AF388B">
        <w:t xml:space="preserve"> as G</w:t>
      </w:r>
      <w:r w:rsidR="0090026A">
        <w:t xml:space="preserve">entile believers are to avoid sexual relationships among close relatives as </w:t>
      </w:r>
      <w:r w:rsidR="00BF3CA7">
        <w:t>noted</w:t>
      </w:r>
      <w:r w:rsidR="0090026A">
        <w:t xml:space="preserve"> in </w:t>
      </w:r>
      <w:r w:rsidR="00A13049">
        <w:t>Lev</w:t>
      </w:r>
      <w:r w:rsidR="009F3A1A">
        <w:t>iticus</w:t>
      </w:r>
      <w:r w:rsidR="0090026A">
        <w:t xml:space="preserve"> 18</w:t>
      </w:r>
      <w:r w:rsidR="00A077CC">
        <w:t xml:space="preserve">. </w:t>
      </w:r>
      <w:r w:rsidR="0034790D">
        <w:t>Further support is claimed to be found in the Qumran material</w:t>
      </w:r>
      <w:r w:rsidR="003B3153">
        <w:t xml:space="preserve"> (cf. CD 5.7-10)</w:t>
      </w:r>
      <w:r w:rsidR="0034790D">
        <w:t xml:space="preserve"> where the form </w:t>
      </w:r>
      <w:r w:rsidR="003B3153">
        <w:t xml:space="preserve">of </w:t>
      </w:r>
      <w:r w:rsidR="0034790D">
        <w:t>incest</w:t>
      </w:r>
      <w:r w:rsidR="003B3153">
        <w:t xml:space="preserve"> being targeted</w:t>
      </w:r>
      <w:r w:rsidR="0034790D">
        <w:t xml:space="preserve"> could have been translated as </w:t>
      </w:r>
      <w:r w:rsidR="00293B35">
        <w:rPr>
          <w:rFonts w:cs="Times New Roman"/>
        </w:rPr>
        <w:t>πορνε</w:t>
      </w:r>
      <w:r w:rsidR="00293B35">
        <w:rPr>
          <w:rFonts w:ascii="Times New Roman" w:hAnsi="Times New Roman" w:cs="Times New Roman"/>
        </w:rPr>
        <w:t>ία</w:t>
      </w:r>
      <w:r w:rsidR="00293B35">
        <w:t xml:space="preserve"> </w:t>
      </w:r>
      <w:r w:rsidR="00DA7B1D">
        <w:t>in Greek</w:t>
      </w:r>
      <w:r w:rsidR="0034790D">
        <w:t>.</w:t>
      </w:r>
      <w:r w:rsidR="007C6D0C">
        <w:rPr>
          <w:rStyle w:val="FootnoteReference"/>
        </w:rPr>
        <w:footnoteReference w:id="21"/>
      </w:r>
      <w:r w:rsidR="0034790D">
        <w:t xml:space="preserve"> </w:t>
      </w:r>
      <w:r w:rsidR="00A077CC">
        <w:t xml:space="preserve">If so, </w:t>
      </w:r>
      <w:r w:rsidR="0034790D">
        <w:t xml:space="preserve">Matthew might have inserted this exception clause to prevent Gentile converts from remaining in incestuous relationships. </w:t>
      </w:r>
    </w:p>
    <w:p w:rsidR="009F05C8" w:rsidRDefault="00747326" w:rsidP="006D063A">
      <w:pPr>
        <w:pStyle w:val="FootnoteText"/>
        <w:rPr>
          <w:rFonts w:cs="Times New Roman"/>
        </w:rPr>
      </w:pPr>
      <w:r>
        <w:tab/>
        <w:t xml:space="preserve">Despite its popularity, this reading is </w:t>
      </w:r>
      <w:r w:rsidR="00116A67">
        <w:t>problematic</w:t>
      </w:r>
      <w:r w:rsidR="00FA32D7">
        <w:t>. I</w:t>
      </w:r>
      <w:r>
        <w:t>n its context in Matthew 19</w:t>
      </w:r>
      <w:r w:rsidR="0069199B">
        <w:rPr>
          <w:rFonts w:hint="eastAsia"/>
          <w:lang w:eastAsia="zh-TW"/>
        </w:rPr>
        <w:t>,</w:t>
      </w:r>
      <w:r>
        <w:t xml:space="preserve"> where the legal dispute grounded in the reading of </w:t>
      </w:r>
      <w:r w:rsidR="00116A67">
        <w:t>Deut</w:t>
      </w:r>
      <w:r>
        <w:t xml:space="preserve"> 24</w:t>
      </w:r>
      <w:r w:rsidR="00D32A5D">
        <w:t>:</w:t>
      </w:r>
      <w:r>
        <w:t xml:space="preserve">1-4 is addressed, a discussion of incest </w:t>
      </w:r>
      <w:r w:rsidR="00BF3CA7">
        <w:t>seems</w:t>
      </w:r>
      <w:r>
        <w:t xml:space="preserve"> out of place. </w:t>
      </w:r>
      <w:r w:rsidR="009F05C8">
        <w:t xml:space="preserve">Moreover, for those in such relationships, a divorce certificate would not have been required because such </w:t>
      </w:r>
      <w:r w:rsidR="006140DF">
        <w:t xml:space="preserve">a </w:t>
      </w:r>
      <w:r w:rsidR="009F05C8">
        <w:t>marriage would not have been recog</w:t>
      </w:r>
      <w:r w:rsidR="00D72F3A">
        <w:t>nized as a valid one</w:t>
      </w:r>
      <w:r w:rsidR="009F05C8">
        <w:t>.</w:t>
      </w:r>
      <w:r w:rsidR="00CA35C9">
        <w:rPr>
          <w:rStyle w:val="FootnoteReference"/>
        </w:rPr>
        <w:footnoteReference w:id="22"/>
      </w:r>
      <w:r w:rsidR="009F05C8">
        <w:t xml:space="preserve"> </w:t>
      </w:r>
      <w:r>
        <w:t xml:space="preserve">The alleged parallels in Acts 15 and 21 are also questionable since the meaning of </w:t>
      </w:r>
      <w:r w:rsidR="00293B35">
        <w:rPr>
          <w:rFonts w:cs="Times New Roman"/>
        </w:rPr>
        <w:t>πορνε</w:t>
      </w:r>
      <w:r w:rsidR="00293B35">
        <w:rPr>
          <w:rFonts w:ascii="Times New Roman" w:hAnsi="Times New Roman" w:cs="Times New Roman"/>
        </w:rPr>
        <w:t>ία</w:t>
      </w:r>
      <w:r w:rsidR="00293B35">
        <w:rPr>
          <w:rFonts w:cs="Times New Roman"/>
        </w:rPr>
        <w:t xml:space="preserve"> </w:t>
      </w:r>
      <w:r>
        <w:rPr>
          <w:rFonts w:cs="Times New Roman"/>
        </w:rPr>
        <w:t xml:space="preserve">there should not be limited to incest, especially </w:t>
      </w:r>
      <w:r w:rsidR="00116A67">
        <w:rPr>
          <w:rFonts w:cs="Times New Roman"/>
        </w:rPr>
        <w:t xml:space="preserve">when </w:t>
      </w:r>
      <w:r>
        <w:rPr>
          <w:rFonts w:cs="Times New Roman"/>
        </w:rPr>
        <w:t xml:space="preserve">it is listed with other moral and cultic </w:t>
      </w:r>
      <w:r w:rsidR="00391767">
        <w:rPr>
          <w:rFonts w:cs="Times New Roman"/>
        </w:rPr>
        <w:t>prohibitions. More importantly,</w:t>
      </w:r>
      <w:r w:rsidR="009F05C8">
        <w:rPr>
          <w:rFonts w:cs="Times New Roman"/>
        </w:rPr>
        <w:t xml:space="preserve"> the word</w:t>
      </w:r>
      <w:r w:rsidR="00391767">
        <w:rPr>
          <w:rFonts w:cs="Times New Roman"/>
        </w:rPr>
        <w:t xml:space="preserve"> </w:t>
      </w:r>
      <w:r w:rsidR="00293B35">
        <w:rPr>
          <w:rFonts w:cs="Times New Roman"/>
        </w:rPr>
        <w:t>πορνε</w:t>
      </w:r>
      <w:r w:rsidR="00293B35">
        <w:rPr>
          <w:rFonts w:ascii="Times New Roman" w:hAnsi="Times New Roman" w:cs="Times New Roman"/>
        </w:rPr>
        <w:t>ία</w:t>
      </w:r>
      <w:r w:rsidR="00293B35">
        <w:rPr>
          <w:rFonts w:cs="Times New Roman"/>
        </w:rPr>
        <w:t xml:space="preserve"> </w:t>
      </w:r>
      <w:r w:rsidR="00391767">
        <w:rPr>
          <w:rFonts w:cs="Times New Roman"/>
        </w:rPr>
        <w:t xml:space="preserve">does not even appear in </w:t>
      </w:r>
      <w:r w:rsidR="00A13049">
        <w:rPr>
          <w:rFonts w:cs="Times New Roman"/>
        </w:rPr>
        <w:t>Lev</w:t>
      </w:r>
      <w:r w:rsidR="009F3A1A">
        <w:rPr>
          <w:rFonts w:cs="Times New Roman"/>
        </w:rPr>
        <w:t>iticus</w:t>
      </w:r>
      <w:r w:rsidR="00391767">
        <w:rPr>
          <w:rFonts w:cs="Times New Roman"/>
        </w:rPr>
        <w:t xml:space="preserve"> 18 (LXX), and the parallel discussion in the Qumran material is only limited to one or two passages. In terms of historical context, incestuous relationship</w:t>
      </w:r>
      <w:r w:rsidR="0033794F">
        <w:rPr>
          <w:rFonts w:cs="Times New Roman"/>
        </w:rPr>
        <w:t>s</w:t>
      </w:r>
      <w:r w:rsidR="00391767">
        <w:rPr>
          <w:rFonts w:cs="Times New Roman"/>
        </w:rPr>
        <w:t xml:space="preserve"> </w:t>
      </w:r>
      <w:r w:rsidR="0033794F">
        <w:rPr>
          <w:rFonts w:cs="Times New Roman"/>
        </w:rPr>
        <w:t xml:space="preserve">are </w:t>
      </w:r>
      <w:r w:rsidR="00391767">
        <w:rPr>
          <w:rFonts w:cs="Times New Roman"/>
        </w:rPr>
        <w:t>rare even among the Gentiles</w:t>
      </w:r>
      <w:r w:rsidR="00BF3CA7">
        <w:rPr>
          <w:rFonts w:cs="Times New Roman"/>
        </w:rPr>
        <w:t xml:space="preserve"> in first-century Mediterranean world</w:t>
      </w:r>
      <w:r w:rsidR="00391767">
        <w:rPr>
          <w:rFonts w:cs="Times New Roman"/>
        </w:rPr>
        <w:t>,</w:t>
      </w:r>
      <w:r w:rsidR="00391767">
        <w:rPr>
          <w:rStyle w:val="FootnoteReference"/>
          <w:rFonts w:cs="Times New Roman"/>
        </w:rPr>
        <w:footnoteReference w:id="23"/>
      </w:r>
      <w:r w:rsidR="00391767">
        <w:rPr>
          <w:rFonts w:cs="Times New Roman"/>
        </w:rPr>
        <w:t xml:space="preserve"> an</w:t>
      </w:r>
      <w:r w:rsidR="009F05C8">
        <w:rPr>
          <w:rFonts w:cs="Times New Roman"/>
        </w:rPr>
        <w:t xml:space="preserve">d it is unlikely that it </w:t>
      </w:r>
      <w:r w:rsidR="00BF3CA7">
        <w:rPr>
          <w:rFonts w:cs="Times New Roman"/>
        </w:rPr>
        <w:t>is</w:t>
      </w:r>
      <w:r w:rsidR="00391767">
        <w:rPr>
          <w:rFonts w:cs="Times New Roman"/>
        </w:rPr>
        <w:t xml:space="preserve"> a prominent </w:t>
      </w:r>
      <w:r w:rsidR="002D795B">
        <w:rPr>
          <w:rFonts w:cs="Times New Roman"/>
        </w:rPr>
        <w:t xml:space="preserve">concern </w:t>
      </w:r>
      <w:r w:rsidR="00391767">
        <w:rPr>
          <w:rFonts w:cs="Times New Roman"/>
        </w:rPr>
        <w:t>in the Matthean community if</w:t>
      </w:r>
      <w:r w:rsidR="009F05C8">
        <w:rPr>
          <w:rFonts w:cs="Times New Roman"/>
        </w:rPr>
        <w:t xml:space="preserve"> we assume its Syro-Palestinian setting. Finally, this reading relies heavily on the assumption that this </w:t>
      </w:r>
      <w:r w:rsidR="00BF3CA7">
        <w:rPr>
          <w:rFonts w:cs="Times New Roman"/>
        </w:rPr>
        <w:t>is</w:t>
      </w:r>
      <w:r w:rsidR="009F05C8">
        <w:rPr>
          <w:rFonts w:cs="Times New Roman"/>
        </w:rPr>
        <w:t xml:space="preserve"> a Matthean insertion that addresse</w:t>
      </w:r>
      <w:r w:rsidR="00BF3CA7">
        <w:rPr>
          <w:rFonts w:cs="Times New Roman"/>
        </w:rPr>
        <w:t>s</w:t>
      </w:r>
      <w:r w:rsidR="009F05C8">
        <w:rPr>
          <w:rFonts w:cs="Times New Roman"/>
        </w:rPr>
        <w:t xml:space="preserve"> the concern of his commu</w:t>
      </w:r>
      <w:r w:rsidR="001E23A3">
        <w:rPr>
          <w:rFonts w:cs="Times New Roman"/>
        </w:rPr>
        <w:t>nity</w:t>
      </w:r>
      <w:r w:rsidR="009F05C8">
        <w:rPr>
          <w:rFonts w:cs="Times New Roman"/>
        </w:rPr>
        <w:t>,</w:t>
      </w:r>
      <w:r w:rsidR="001E23A3">
        <w:rPr>
          <w:rStyle w:val="FootnoteReference"/>
          <w:rFonts w:cs="Times New Roman"/>
        </w:rPr>
        <w:footnoteReference w:id="24"/>
      </w:r>
      <w:r w:rsidR="009F05C8">
        <w:rPr>
          <w:rFonts w:cs="Times New Roman"/>
        </w:rPr>
        <w:t xml:space="preserve"> an assumption that remains to be proven.</w:t>
      </w:r>
    </w:p>
    <w:p w:rsidR="001C151A" w:rsidRDefault="009F05C8" w:rsidP="006D063A">
      <w:pPr>
        <w:pStyle w:val="FootnoteText"/>
        <w:rPr>
          <w:rFonts w:cs="Times New Roman"/>
        </w:rPr>
      </w:pPr>
      <w:r>
        <w:rPr>
          <w:rFonts w:cs="Times New Roman"/>
        </w:rPr>
        <w:tab/>
        <w:t xml:space="preserve">Instead of narrowing the meaning of </w:t>
      </w:r>
      <w:r w:rsidR="00293B35">
        <w:rPr>
          <w:rFonts w:cs="Times New Roman"/>
        </w:rPr>
        <w:t>πορνε</w:t>
      </w:r>
      <w:r w:rsidR="00293B35">
        <w:rPr>
          <w:rFonts w:ascii="Times New Roman" w:hAnsi="Times New Roman" w:cs="Times New Roman"/>
        </w:rPr>
        <w:t>ία</w:t>
      </w:r>
      <w:r w:rsidR="00293B35">
        <w:rPr>
          <w:rFonts w:cs="Times New Roman"/>
        </w:rPr>
        <w:t xml:space="preserve"> </w:t>
      </w:r>
      <w:r>
        <w:rPr>
          <w:rFonts w:cs="Times New Roman"/>
        </w:rPr>
        <w:t>to incestuous relationship</w:t>
      </w:r>
      <w:r w:rsidR="0069199B">
        <w:rPr>
          <w:rFonts w:cs="Times New Roman" w:hint="eastAsia"/>
          <w:lang w:eastAsia="zh-TW"/>
        </w:rPr>
        <w:t>s</w:t>
      </w:r>
      <w:r w:rsidR="001C151A">
        <w:rPr>
          <w:rFonts w:cs="Times New Roman"/>
        </w:rPr>
        <w:t>, others have suggested that this</w:t>
      </w:r>
      <w:r>
        <w:rPr>
          <w:rFonts w:cs="Times New Roman"/>
        </w:rPr>
        <w:t xml:space="preserve"> term should be understood in its full semantic range </w:t>
      </w:r>
      <w:r w:rsidR="00BF3CA7">
        <w:rPr>
          <w:rFonts w:cs="Times New Roman"/>
        </w:rPr>
        <w:t>in reference</w:t>
      </w:r>
      <w:r>
        <w:rPr>
          <w:rFonts w:cs="Times New Roman"/>
        </w:rPr>
        <w:t xml:space="preserve"> to sexual </w:t>
      </w:r>
      <w:r w:rsidR="004A5BBF">
        <w:rPr>
          <w:rFonts w:cs="Times New Roman"/>
        </w:rPr>
        <w:t>immorality</w:t>
      </w:r>
      <w:r>
        <w:rPr>
          <w:rFonts w:cs="Times New Roman"/>
        </w:rPr>
        <w:t xml:space="preserve"> in gen</w:t>
      </w:r>
      <w:r w:rsidR="001E23A3">
        <w:rPr>
          <w:rFonts w:cs="Times New Roman"/>
        </w:rPr>
        <w:t>eral</w:t>
      </w:r>
      <w:r>
        <w:rPr>
          <w:rFonts w:cs="Times New Roman"/>
        </w:rPr>
        <w:t>.</w:t>
      </w:r>
      <w:r w:rsidR="001E23A3">
        <w:rPr>
          <w:rStyle w:val="FootnoteReference"/>
          <w:rFonts w:cs="Times New Roman"/>
        </w:rPr>
        <w:footnoteReference w:id="25"/>
      </w:r>
      <w:r>
        <w:rPr>
          <w:rFonts w:cs="Times New Roman"/>
        </w:rPr>
        <w:t xml:space="preserve"> Thos</w:t>
      </w:r>
      <w:r w:rsidR="00BF3CA7">
        <w:rPr>
          <w:rFonts w:cs="Times New Roman"/>
        </w:rPr>
        <w:t>e advocating this reading point</w:t>
      </w:r>
      <w:r>
        <w:rPr>
          <w:rFonts w:cs="Times New Roman"/>
        </w:rPr>
        <w:t xml:space="preserve"> to the </w:t>
      </w:r>
      <w:r w:rsidR="009434E3">
        <w:rPr>
          <w:rFonts w:cs="Times New Roman"/>
        </w:rPr>
        <w:t>presence of an explicit reference to adultery (</w:t>
      </w:r>
      <w:r w:rsidR="00293B35">
        <w:rPr>
          <w:rFonts w:cs="Times New Roman"/>
        </w:rPr>
        <w:t>μοιχε</w:t>
      </w:r>
      <w:r w:rsidR="00293B35">
        <w:rPr>
          <w:rFonts w:ascii="Times New Roman" w:hAnsi="Times New Roman" w:cs="Times New Roman"/>
        </w:rPr>
        <w:t>ία</w:t>
      </w:r>
      <w:r w:rsidR="009434E3">
        <w:rPr>
          <w:rFonts w:cs="Times New Roman"/>
        </w:rPr>
        <w:t>) in the same verse</w:t>
      </w:r>
      <w:r w:rsidR="001C151A">
        <w:rPr>
          <w:rFonts w:cs="Times New Roman"/>
        </w:rPr>
        <w:t xml:space="preserve">, and therefore </w:t>
      </w:r>
      <w:r w:rsidR="00293B35">
        <w:rPr>
          <w:rFonts w:cs="Times New Roman"/>
        </w:rPr>
        <w:t>πορνε</w:t>
      </w:r>
      <w:r w:rsidR="00293B35">
        <w:rPr>
          <w:rFonts w:ascii="Times New Roman" w:hAnsi="Times New Roman" w:cs="Times New Roman"/>
        </w:rPr>
        <w:t>ία</w:t>
      </w:r>
      <w:r w:rsidR="00293B35">
        <w:rPr>
          <w:rFonts w:cs="Times New Roman"/>
        </w:rPr>
        <w:t xml:space="preserve"> </w:t>
      </w:r>
      <w:r w:rsidR="00050A76">
        <w:rPr>
          <w:rFonts w:cs="Times New Roman"/>
        </w:rPr>
        <w:t>“</w:t>
      </w:r>
      <w:r w:rsidR="001C151A">
        <w:rPr>
          <w:rFonts w:cs="Times New Roman"/>
        </w:rPr>
        <w:t>must be general, not specific</w:t>
      </w:r>
      <w:r w:rsidR="001E23A3">
        <w:rPr>
          <w:rFonts w:cs="Times New Roman"/>
        </w:rPr>
        <w:t>.”</w:t>
      </w:r>
      <w:r w:rsidR="001E23A3">
        <w:rPr>
          <w:rStyle w:val="FootnoteReference"/>
          <w:rFonts w:cs="Times New Roman"/>
        </w:rPr>
        <w:footnoteReference w:id="26"/>
      </w:r>
      <w:r w:rsidR="001C151A">
        <w:rPr>
          <w:rFonts w:cs="Times New Roman"/>
        </w:rPr>
        <w:t xml:space="preserve"> This reading certainly do</w:t>
      </w:r>
      <w:r w:rsidR="006140DF">
        <w:rPr>
          <w:rFonts w:cs="Times New Roman"/>
        </w:rPr>
        <w:t>es</w:t>
      </w:r>
      <w:r w:rsidR="001C151A">
        <w:rPr>
          <w:rFonts w:cs="Times New Roman"/>
        </w:rPr>
        <w:t xml:space="preserve"> full </w:t>
      </w:r>
      <w:r w:rsidR="004A5BBF">
        <w:rPr>
          <w:rFonts w:cs="Times New Roman"/>
        </w:rPr>
        <w:t>justice</w:t>
      </w:r>
      <w:r w:rsidR="001C151A">
        <w:rPr>
          <w:rFonts w:cs="Times New Roman"/>
        </w:rPr>
        <w:t xml:space="preserve"> to the various uses of </w:t>
      </w:r>
      <w:r w:rsidR="00293B35">
        <w:rPr>
          <w:rFonts w:cs="Times New Roman"/>
        </w:rPr>
        <w:t>πορνε</w:t>
      </w:r>
      <w:r w:rsidR="00293B35">
        <w:rPr>
          <w:rFonts w:ascii="Times New Roman" w:hAnsi="Times New Roman" w:cs="Times New Roman"/>
        </w:rPr>
        <w:t>ία</w:t>
      </w:r>
      <w:r w:rsidR="00293B35">
        <w:rPr>
          <w:rFonts w:cs="Times New Roman"/>
        </w:rPr>
        <w:t xml:space="preserve"> </w:t>
      </w:r>
      <w:r w:rsidR="001C151A">
        <w:rPr>
          <w:rFonts w:cs="Times New Roman"/>
        </w:rPr>
        <w:t>in contemporary Greek literature, but the meaning o</w:t>
      </w:r>
      <w:r w:rsidR="00BF3CA7">
        <w:rPr>
          <w:rFonts w:cs="Times New Roman"/>
        </w:rPr>
        <w:t>f any word must be determined by</w:t>
      </w:r>
      <w:r w:rsidR="001C151A">
        <w:rPr>
          <w:rFonts w:cs="Times New Roman"/>
        </w:rPr>
        <w:t xml:space="preserve"> its own context. In this Matthean discussion of divorce, </w:t>
      </w:r>
      <w:r w:rsidR="00293B35">
        <w:rPr>
          <w:rFonts w:cs="Times New Roman"/>
        </w:rPr>
        <w:t>πορνε</w:t>
      </w:r>
      <w:r w:rsidR="00293B35">
        <w:rPr>
          <w:rFonts w:ascii="Times New Roman" w:hAnsi="Times New Roman" w:cs="Times New Roman"/>
        </w:rPr>
        <w:t>ία</w:t>
      </w:r>
      <w:r w:rsidR="00293B35">
        <w:rPr>
          <w:rFonts w:cs="Times New Roman"/>
        </w:rPr>
        <w:t xml:space="preserve"> </w:t>
      </w:r>
      <w:r w:rsidR="001C151A">
        <w:rPr>
          <w:rFonts w:cs="Times New Roman"/>
        </w:rPr>
        <w:t>must refer to sexual acts that would break the marriage bond, and any such sexual acts may be grouped to</w:t>
      </w:r>
      <w:r w:rsidR="00BF3CA7">
        <w:rPr>
          <w:rFonts w:cs="Times New Roman"/>
        </w:rPr>
        <w:t xml:space="preserve">gether under the term </w:t>
      </w:r>
      <w:r w:rsidR="00050A76">
        <w:rPr>
          <w:rFonts w:cs="Times New Roman"/>
        </w:rPr>
        <w:t>“</w:t>
      </w:r>
      <w:r w:rsidR="00BF3CA7">
        <w:rPr>
          <w:rFonts w:cs="Times New Roman"/>
        </w:rPr>
        <w:t>adultery</w:t>
      </w:r>
      <w:r w:rsidR="00172BDE">
        <w:rPr>
          <w:rFonts w:cs="Times New Roman"/>
        </w:rPr>
        <w:t>.”</w:t>
      </w:r>
      <w:r w:rsidR="001C151A">
        <w:rPr>
          <w:rFonts w:cs="Times New Roman"/>
        </w:rPr>
        <w:t xml:space="preserve"> The use of the term </w:t>
      </w:r>
      <w:r w:rsidR="00050A76">
        <w:rPr>
          <w:rFonts w:cs="Times New Roman"/>
        </w:rPr>
        <w:t>“</w:t>
      </w:r>
      <w:r w:rsidR="00637232">
        <w:rPr>
          <w:rFonts w:cs="Times New Roman"/>
        </w:rPr>
        <w:t>adulter</w:t>
      </w:r>
      <w:r w:rsidR="00AF388B">
        <w:rPr>
          <w:rFonts w:cs="Times New Roman"/>
        </w:rPr>
        <w:t>y</w:t>
      </w:r>
      <w:r w:rsidR="00050A76">
        <w:rPr>
          <w:rFonts w:cs="Times New Roman"/>
        </w:rPr>
        <w:t>”</w:t>
      </w:r>
      <w:r w:rsidR="001C151A">
        <w:rPr>
          <w:rFonts w:cs="Times New Roman"/>
        </w:rPr>
        <w:t xml:space="preserve"> does not necessarily reduce </w:t>
      </w:r>
      <w:r w:rsidR="00293B35">
        <w:rPr>
          <w:rFonts w:cs="Times New Roman"/>
        </w:rPr>
        <w:t>πορνε</w:t>
      </w:r>
      <w:r w:rsidR="00293B35">
        <w:rPr>
          <w:rFonts w:ascii="Times New Roman" w:hAnsi="Times New Roman" w:cs="Times New Roman"/>
        </w:rPr>
        <w:t>ία</w:t>
      </w:r>
      <w:r w:rsidR="00293B35">
        <w:rPr>
          <w:rFonts w:cs="Times New Roman"/>
        </w:rPr>
        <w:t xml:space="preserve"> </w:t>
      </w:r>
      <w:r w:rsidR="001C151A">
        <w:rPr>
          <w:rFonts w:cs="Times New Roman"/>
        </w:rPr>
        <w:t xml:space="preserve">to one kind of sexual act since it can refer to any sexual acts that are deemed to </w:t>
      </w:r>
      <w:r w:rsidR="00BE3155">
        <w:rPr>
          <w:rFonts w:cs="Times New Roman"/>
        </w:rPr>
        <w:t>reflect</w:t>
      </w:r>
      <w:r w:rsidR="001C151A">
        <w:rPr>
          <w:rFonts w:cs="Times New Roman"/>
        </w:rPr>
        <w:t xml:space="preserve"> marital unfaithfulness according to the Mosaic (and Jewish) Law. Its most natural reference lies, however, in an explicit sexual act with someone outside one’s legitimate marital relationship.</w:t>
      </w:r>
    </w:p>
    <w:p w:rsidR="006118B5" w:rsidRDefault="00CD272D" w:rsidP="006D063A">
      <w:pPr>
        <w:pStyle w:val="FootnoteText"/>
        <w:rPr>
          <w:rFonts w:cs="Times New Roman"/>
        </w:rPr>
      </w:pPr>
      <w:r>
        <w:rPr>
          <w:rFonts w:cs="Times New Roman"/>
        </w:rPr>
        <w:tab/>
        <w:t xml:space="preserve">The understanding of </w:t>
      </w:r>
      <w:r w:rsidR="00293B35">
        <w:rPr>
          <w:rFonts w:cs="Times New Roman"/>
        </w:rPr>
        <w:t>πορνε</w:t>
      </w:r>
      <w:r w:rsidR="00293B35">
        <w:rPr>
          <w:rFonts w:ascii="Times New Roman" w:hAnsi="Times New Roman" w:cs="Times New Roman"/>
        </w:rPr>
        <w:t>ία</w:t>
      </w:r>
      <w:r w:rsidR="00293B35">
        <w:rPr>
          <w:rFonts w:cs="Times New Roman"/>
        </w:rPr>
        <w:t xml:space="preserve"> </w:t>
      </w:r>
      <w:r>
        <w:rPr>
          <w:rFonts w:cs="Times New Roman"/>
        </w:rPr>
        <w:t>as adultery continue</w:t>
      </w:r>
      <w:r w:rsidR="0033794F">
        <w:rPr>
          <w:rFonts w:cs="Times New Roman"/>
        </w:rPr>
        <w:t>s</w:t>
      </w:r>
      <w:r>
        <w:rPr>
          <w:rFonts w:cs="Times New Roman"/>
        </w:rPr>
        <w:t xml:space="preserve"> to receive str</w:t>
      </w:r>
      <w:r w:rsidR="00FC5272">
        <w:rPr>
          <w:rFonts w:cs="Times New Roman"/>
        </w:rPr>
        <w:t>ong support among commentators</w:t>
      </w:r>
      <w:r w:rsidR="00BE3155">
        <w:rPr>
          <w:rFonts w:cs="Times New Roman"/>
        </w:rPr>
        <w:t>.</w:t>
      </w:r>
      <w:r w:rsidR="001E23A3">
        <w:rPr>
          <w:rStyle w:val="FootnoteReference"/>
          <w:rFonts w:cs="Times New Roman"/>
        </w:rPr>
        <w:footnoteReference w:id="27"/>
      </w:r>
      <w:r w:rsidR="00BE3155">
        <w:rPr>
          <w:rFonts w:cs="Times New Roman"/>
        </w:rPr>
        <w:t xml:space="preserve"> S</w:t>
      </w:r>
      <w:r w:rsidR="009C2484">
        <w:rPr>
          <w:rFonts w:cs="Times New Roman"/>
        </w:rPr>
        <w:t>everal</w:t>
      </w:r>
      <w:r w:rsidR="00AF46DE">
        <w:rPr>
          <w:rFonts w:cs="Times New Roman"/>
        </w:rPr>
        <w:t xml:space="preserve"> </w:t>
      </w:r>
      <w:r w:rsidR="009C2484">
        <w:rPr>
          <w:rFonts w:cs="Times New Roman"/>
        </w:rPr>
        <w:t xml:space="preserve">factors further support this reading. First, adultery as the primary grounds for divorce is </w:t>
      </w:r>
      <w:r w:rsidR="004A5BBF">
        <w:rPr>
          <w:rFonts w:cs="Times New Roman"/>
        </w:rPr>
        <w:t>well attested</w:t>
      </w:r>
      <w:r w:rsidR="009C2484">
        <w:rPr>
          <w:rFonts w:cs="Times New Roman"/>
        </w:rPr>
        <w:t xml:space="preserve"> in certain groups in pre-Rabbinic </w:t>
      </w:r>
      <w:r w:rsidR="00FC5272">
        <w:rPr>
          <w:rFonts w:cs="Times New Roman"/>
        </w:rPr>
        <w:t>Judaism</w:t>
      </w:r>
      <w:r w:rsidR="009C2484">
        <w:rPr>
          <w:rFonts w:cs="Times New Roman"/>
        </w:rPr>
        <w:t>.</w:t>
      </w:r>
      <w:r w:rsidR="00FC5272">
        <w:rPr>
          <w:rStyle w:val="FootnoteReference"/>
          <w:rFonts w:cs="Times New Roman"/>
        </w:rPr>
        <w:footnoteReference w:id="28"/>
      </w:r>
      <w:r w:rsidR="009C2484">
        <w:rPr>
          <w:rFonts w:cs="Times New Roman"/>
        </w:rPr>
        <w:t xml:space="preserve"> </w:t>
      </w:r>
      <w:r w:rsidR="009C2484" w:rsidRPr="00E12002">
        <w:rPr>
          <w:rFonts w:cs="Times New Roman"/>
        </w:rPr>
        <w:t xml:space="preserve">If </w:t>
      </w:r>
      <w:r w:rsidR="00293B35" w:rsidRPr="00E12002">
        <w:rPr>
          <w:rFonts w:cs="Times New Roman"/>
        </w:rPr>
        <w:t>πορνεία</w:t>
      </w:r>
      <w:r w:rsidR="00293B35">
        <w:rPr>
          <w:rFonts w:cs="Times New Roman"/>
        </w:rPr>
        <w:t xml:space="preserve"> </w:t>
      </w:r>
      <w:r w:rsidR="0033794F">
        <w:rPr>
          <w:rFonts w:cs="Times New Roman"/>
        </w:rPr>
        <w:t>refers</w:t>
      </w:r>
      <w:r w:rsidR="009C2484">
        <w:rPr>
          <w:rFonts w:cs="Times New Roman"/>
        </w:rPr>
        <w:t xml:space="preserve"> to other sexual acts, the</w:t>
      </w:r>
      <w:r w:rsidR="006140DF">
        <w:rPr>
          <w:rFonts w:cs="Times New Roman"/>
        </w:rPr>
        <w:t>n</w:t>
      </w:r>
      <w:r w:rsidR="009C2484">
        <w:rPr>
          <w:rFonts w:cs="Times New Roman"/>
        </w:rPr>
        <w:t xml:space="preserve"> </w:t>
      </w:r>
      <w:r w:rsidR="006D0AAC">
        <w:rPr>
          <w:rFonts w:cs="Times New Roman"/>
        </w:rPr>
        <w:t>Jesus and/or Matthew</w:t>
      </w:r>
      <w:r w:rsidR="009C2484">
        <w:rPr>
          <w:rFonts w:cs="Times New Roman"/>
        </w:rPr>
        <w:t xml:space="preserve"> would have to make this clear. Second, </w:t>
      </w:r>
      <w:r w:rsidR="00AF46DE">
        <w:rPr>
          <w:rFonts w:cs="Times New Roman"/>
        </w:rPr>
        <w:t xml:space="preserve">in reference to that which can break the marriage bond, the sexual act(s) involved would by </w:t>
      </w:r>
      <w:r w:rsidR="006118B5">
        <w:rPr>
          <w:rFonts w:cs="Times New Roman"/>
        </w:rPr>
        <w:t>definition</w:t>
      </w:r>
      <w:r w:rsidR="00AF46DE">
        <w:rPr>
          <w:rFonts w:cs="Times New Roman"/>
        </w:rPr>
        <w:t xml:space="preserve"> be understood as the sin of adultery. </w:t>
      </w:r>
      <w:r w:rsidR="005F4113">
        <w:rPr>
          <w:rFonts w:cs="Times New Roman"/>
        </w:rPr>
        <w:t xml:space="preserve">Third, since this discussion </w:t>
      </w:r>
      <w:r w:rsidR="00BE51DE">
        <w:rPr>
          <w:rFonts w:cs="Times New Roman"/>
        </w:rPr>
        <w:t xml:space="preserve">about </w:t>
      </w:r>
      <w:r w:rsidR="005F4113">
        <w:rPr>
          <w:rFonts w:cs="Times New Roman"/>
        </w:rPr>
        <w:t>divorce is gr</w:t>
      </w:r>
      <w:r w:rsidR="00D32A5D">
        <w:rPr>
          <w:rFonts w:cs="Times New Roman"/>
        </w:rPr>
        <w:t>ounded in Deut</w:t>
      </w:r>
      <w:r w:rsidR="005F4113">
        <w:rPr>
          <w:rFonts w:cs="Times New Roman"/>
        </w:rPr>
        <w:t xml:space="preserve"> 24</w:t>
      </w:r>
      <w:r w:rsidR="00D32A5D">
        <w:rPr>
          <w:rFonts w:cs="Times New Roman"/>
        </w:rPr>
        <w:t>:</w:t>
      </w:r>
      <w:r w:rsidR="005F4113">
        <w:rPr>
          <w:rFonts w:cs="Times New Roman"/>
        </w:rPr>
        <w:t>1-4, and that</w:t>
      </w:r>
      <w:r w:rsidR="008C39B5">
        <w:rPr>
          <w:rFonts w:cs="Times New Roman" w:hint="cs"/>
          <w:lang w:bidi="he-IL"/>
        </w:rPr>
        <w:t xml:space="preserve"> </w:t>
      </w:r>
      <w:r w:rsidR="008C39B5">
        <w:rPr>
          <w:rFonts w:ascii="Times New Roman" w:hAnsi="Times New Roman" w:cs="Times New Roman" w:hint="cs"/>
          <w:lang w:bidi="he-IL"/>
        </w:rPr>
        <w:t>דבר</w:t>
      </w:r>
      <w:r w:rsidR="008C39B5">
        <w:rPr>
          <w:rFonts w:cs="Times New Roman" w:hint="cs"/>
          <w:lang w:bidi="he-IL"/>
        </w:rPr>
        <w:t xml:space="preserve"> </w:t>
      </w:r>
      <w:r w:rsidR="008C39B5">
        <w:rPr>
          <w:rFonts w:ascii="Times New Roman" w:hAnsi="Times New Roman" w:cs="Times New Roman" w:hint="cs"/>
          <w:lang w:bidi="he-IL"/>
        </w:rPr>
        <w:t xml:space="preserve">ערות </w:t>
      </w:r>
      <w:r w:rsidR="00D32A5D">
        <w:rPr>
          <w:rFonts w:cs="Times New Roman"/>
        </w:rPr>
        <w:t>in Deut</w:t>
      </w:r>
      <w:r w:rsidR="000A36DC">
        <w:rPr>
          <w:rFonts w:cs="Times New Roman"/>
        </w:rPr>
        <w:t xml:space="preserve"> 24</w:t>
      </w:r>
      <w:r w:rsidR="00D32A5D">
        <w:rPr>
          <w:rFonts w:cs="Times New Roman"/>
        </w:rPr>
        <w:t>:</w:t>
      </w:r>
      <w:r w:rsidR="000A36DC">
        <w:rPr>
          <w:rFonts w:cs="Times New Roman"/>
        </w:rPr>
        <w:t>1 should best be understood as</w:t>
      </w:r>
      <w:r w:rsidR="009C3792">
        <w:rPr>
          <w:rFonts w:cs="Times New Roman"/>
        </w:rPr>
        <w:t xml:space="preserve"> an</w:t>
      </w:r>
      <w:r w:rsidR="000A36DC">
        <w:rPr>
          <w:rFonts w:cs="Times New Roman"/>
        </w:rPr>
        <w:t xml:space="preserve"> illicit sexual act that violate</w:t>
      </w:r>
      <w:r w:rsidR="006140DF">
        <w:rPr>
          <w:rFonts w:cs="Times New Roman"/>
        </w:rPr>
        <w:t>s</w:t>
      </w:r>
      <w:r w:rsidR="000A36DC">
        <w:rPr>
          <w:rFonts w:cs="Times New Roman"/>
        </w:rPr>
        <w:t xml:space="preserve"> the marital rel</w:t>
      </w:r>
      <w:r w:rsidR="007721C1">
        <w:rPr>
          <w:rFonts w:cs="Times New Roman"/>
        </w:rPr>
        <w:t>ationship</w:t>
      </w:r>
      <w:r w:rsidR="000A36DC">
        <w:rPr>
          <w:rFonts w:cs="Times New Roman"/>
        </w:rPr>
        <w:t>,</w:t>
      </w:r>
      <w:r w:rsidR="00D41763">
        <w:rPr>
          <w:rStyle w:val="FootnoteReference"/>
          <w:rFonts w:cs="Times New Roman"/>
        </w:rPr>
        <w:footnoteReference w:id="29"/>
      </w:r>
      <w:r w:rsidR="000A36DC">
        <w:rPr>
          <w:rFonts w:cs="Times New Roman"/>
        </w:rPr>
        <w:t xml:space="preserve"> the corresponding term </w:t>
      </w:r>
      <w:r w:rsidR="00293B35">
        <w:rPr>
          <w:rFonts w:cs="Times New Roman"/>
        </w:rPr>
        <w:t>πορνε</w:t>
      </w:r>
      <w:r w:rsidR="00293B35">
        <w:rPr>
          <w:rFonts w:ascii="Times New Roman" w:hAnsi="Times New Roman" w:cs="Times New Roman"/>
        </w:rPr>
        <w:t>ία</w:t>
      </w:r>
      <w:r w:rsidR="00293B35">
        <w:rPr>
          <w:rFonts w:cs="Times New Roman"/>
        </w:rPr>
        <w:t xml:space="preserve"> </w:t>
      </w:r>
      <w:r w:rsidR="000A36DC">
        <w:rPr>
          <w:rFonts w:cs="Times New Roman"/>
        </w:rPr>
        <w:t xml:space="preserve">in the Matthean divorce texts should carry the same meaning. </w:t>
      </w:r>
      <w:r w:rsidR="005F4113">
        <w:rPr>
          <w:rFonts w:cs="Times New Roman"/>
        </w:rPr>
        <w:t>Finally</w:t>
      </w:r>
      <w:r w:rsidR="00AF46DE">
        <w:rPr>
          <w:rFonts w:cs="Times New Roman"/>
        </w:rPr>
        <w:t xml:space="preserve">, </w:t>
      </w:r>
      <w:r w:rsidR="006118B5">
        <w:rPr>
          <w:rFonts w:cs="Times New Roman"/>
        </w:rPr>
        <w:t xml:space="preserve">the case of Joseph in </w:t>
      </w:r>
      <w:r w:rsidR="00050A76">
        <w:rPr>
          <w:rFonts w:cs="Times New Roman"/>
        </w:rPr>
        <w:t>Matt</w:t>
      </w:r>
      <w:r w:rsidR="00D72F3A">
        <w:rPr>
          <w:rFonts w:cs="Times New Roman"/>
        </w:rPr>
        <w:t xml:space="preserve"> 1:</w:t>
      </w:r>
      <w:r w:rsidR="006118B5">
        <w:rPr>
          <w:rFonts w:cs="Times New Roman"/>
        </w:rPr>
        <w:t xml:space="preserve">18-25 provides internal support for this reading since if </w:t>
      </w:r>
      <w:r w:rsidR="00293B35">
        <w:rPr>
          <w:rFonts w:cs="Times New Roman"/>
        </w:rPr>
        <w:t>πορνε</w:t>
      </w:r>
      <w:r w:rsidR="00293B35">
        <w:rPr>
          <w:rFonts w:ascii="Times New Roman" w:hAnsi="Times New Roman" w:cs="Times New Roman"/>
        </w:rPr>
        <w:t>ία</w:t>
      </w:r>
      <w:r w:rsidR="00293B35">
        <w:rPr>
          <w:rFonts w:cs="Times New Roman"/>
        </w:rPr>
        <w:t xml:space="preserve"> </w:t>
      </w:r>
      <w:r w:rsidR="006118B5">
        <w:rPr>
          <w:rFonts w:cs="Times New Roman"/>
        </w:rPr>
        <w:t>is not understood as referring to adultery, Joseph</w:t>
      </w:r>
      <w:r w:rsidR="00380CFE">
        <w:rPr>
          <w:rFonts w:cs="Times New Roman" w:hint="eastAsia"/>
          <w:lang w:eastAsia="zh-TW"/>
        </w:rPr>
        <w:t>,</w:t>
      </w:r>
      <w:r w:rsidR="009C3792">
        <w:rPr>
          <w:rFonts w:cs="Times New Roman"/>
        </w:rPr>
        <w:t xml:space="preserve"> who </w:t>
      </w:r>
      <w:r w:rsidR="006140DF">
        <w:rPr>
          <w:rFonts w:cs="Times New Roman"/>
        </w:rPr>
        <w:t xml:space="preserve">is </w:t>
      </w:r>
      <w:r w:rsidR="009C3792">
        <w:rPr>
          <w:rFonts w:cs="Times New Roman"/>
        </w:rPr>
        <w:t xml:space="preserve">about </w:t>
      </w:r>
      <w:r w:rsidR="00030A83">
        <w:rPr>
          <w:rFonts w:cs="Times New Roman"/>
        </w:rPr>
        <w:t>“</w:t>
      </w:r>
      <w:r w:rsidR="009C3792">
        <w:rPr>
          <w:rFonts w:cs="Times New Roman"/>
        </w:rPr>
        <w:t>to divorce</w:t>
      </w:r>
      <w:r w:rsidR="00030A83">
        <w:rPr>
          <w:rFonts w:cs="Times New Roman"/>
        </w:rPr>
        <w:t>” (</w:t>
      </w:r>
      <w:r w:rsidR="00293B35">
        <w:rPr>
          <w:rFonts w:ascii="Times New Roman" w:hAnsi="Times New Roman" w:cs="Times New Roman"/>
        </w:rPr>
        <w:t>ἀπολῦσαι</w:t>
      </w:r>
      <w:r w:rsidR="00030A83">
        <w:rPr>
          <w:rFonts w:cs="Times New Roman"/>
        </w:rPr>
        <w:t xml:space="preserve">, cf. </w:t>
      </w:r>
      <w:r w:rsidR="00050A76">
        <w:rPr>
          <w:rFonts w:cs="Times New Roman"/>
        </w:rPr>
        <w:t>19:</w:t>
      </w:r>
      <w:r w:rsidR="00030A83">
        <w:rPr>
          <w:rFonts w:cs="Times New Roman"/>
        </w:rPr>
        <w:t>9)</w:t>
      </w:r>
      <w:r w:rsidR="009C3792">
        <w:rPr>
          <w:rFonts w:cs="Times New Roman"/>
        </w:rPr>
        <w:t xml:space="preserve"> Mary privately because of her pregnancy</w:t>
      </w:r>
      <w:r w:rsidR="00380CFE">
        <w:rPr>
          <w:rFonts w:cs="Times New Roman" w:hint="eastAsia"/>
          <w:lang w:eastAsia="zh-TW"/>
        </w:rPr>
        <w:t>,</w:t>
      </w:r>
      <w:r w:rsidR="006118B5">
        <w:rPr>
          <w:rFonts w:cs="Times New Roman"/>
        </w:rPr>
        <w:t xml:space="preserve"> will not be considered as </w:t>
      </w:r>
      <w:r w:rsidR="00050A76">
        <w:rPr>
          <w:rFonts w:cs="Times New Roman"/>
        </w:rPr>
        <w:t>“</w:t>
      </w:r>
      <w:r w:rsidR="006118B5">
        <w:rPr>
          <w:rFonts w:cs="Times New Roman"/>
        </w:rPr>
        <w:t>a righteous/just man</w:t>
      </w:r>
      <w:r w:rsidR="00050A76">
        <w:rPr>
          <w:rFonts w:cs="Times New Roman"/>
        </w:rPr>
        <w:t>”</w:t>
      </w:r>
      <w:r w:rsidR="006118B5">
        <w:rPr>
          <w:rFonts w:cs="Times New Roman"/>
        </w:rPr>
        <w:t xml:space="preserve"> (1</w:t>
      </w:r>
      <w:r w:rsidR="00D32A5D">
        <w:rPr>
          <w:rFonts w:cs="Times New Roman"/>
        </w:rPr>
        <w:t>:</w:t>
      </w:r>
      <w:r w:rsidR="007721C1">
        <w:rPr>
          <w:rFonts w:cs="Times New Roman"/>
        </w:rPr>
        <w:t>19).</w:t>
      </w:r>
      <w:r w:rsidR="007721C1">
        <w:rPr>
          <w:rStyle w:val="FootnoteReference"/>
          <w:rFonts w:cs="Times New Roman"/>
        </w:rPr>
        <w:footnoteReference w:id="30"/>
      </w:r>
    </w:p>
    <w:p w:rsidR="00C42A5A" w:rsidRDefault="006118B5" w:rsidP="006D063A">
      <w:pPr>
        <w:pStyle w:val="FootnoteText"/>
      </w:pPr>
      <w:r>
        <w:rPr>
          <w:rFonts w:cs="Times New Roman"/>
        </w:rPr>
        <w:tab/>
        <w:t>As to why Matthew would use two different terms (</w:t>
      </w:r>
      <w:r w:rsidR="00293B35">
        <w:rPr>
          <w:rFonts w:cs="Times New Roman"/>
        </w:rPr>
        <w:t>πορνε</w:t>
      </w:r>
      <w:r w:rsidR="00293B35">
        <w:rPr>
          <w:rFonts w:ascii="Times New Roman" w:hAnsi="Times New Roman" w:cs="Times New Roman"/>
        </w:rPr>
        <w:t>ία</w:t>
      </w:r>
      <w:r>
        <w:t xml:space="preserve">, </w:t>
      </w:r>
      <w:r w:rsidR="00293B35">
        <w:t>μοιχεία</w:t>
      </w:r>
      <w:r>
        <w:rPr>
          <w:rFonts w:cs="Times New Roman"/>
        </w:rPr>
        <w:t xml:space="preserve">) in reference to the same act of adultery, several explanations are possible. </w:t>
      </w:r>
      <w:r w:rsidR="005C260C">
        <w:rPr>
          <w:rFonts w:cs="Times New Roman"/>
        </w:rPr>
        <w:t xml:space="preserve">First, the use of these two terms may simply be </w:t>
      </w:r>
      <w:r w:rsidR="007463D7">
        <w:rPr>
          <w:rFonts w:cs="Times New Roman"/>
        </w:rPr>
        <w:t xml:space="preserve">a </w:t>
      </w:r>
      <w:r w:rsidR="005C260C">
        <w:rPr>
          <w:rFonts w:cs="Times New Roman"/>
        </w:rPr>
        <w:t>case of stylistic variation.</w:t>
      </w:r>
      <w:r w:rsidR="00525AF7">
        <w:rPr>
          <w:rFonts w:cs="Times New Roman"/>
        </w:rPr>
        <w:t xml:space="preserve"> </w:t>
      </w:r>
      <w:r w:rsidR="005C260C">
        <w:rPr>
          <w:rFonts w:cs="Times New Roman"/>
        </w:rPr>
        <w:t>A similar case can be identified in Sir 23</w:t>
      </w:r>
      <w:r w:rsidR="00D32A5D">
        <w:rPr>
          <w:rFonts w:cs="Times New Roman"/>
        </w:rPr>
        <w:t>:</w:t>
      </w:r>
      <w:r w:rsidR="005C260C">
        <w:rPr>
          <w:rFonts w:cs="Times New Roman"/>
        </w:rPr>
        <w:t xml:space="preserve">23 where the same two </w:t>
      </w:r>
      <w:r w:rsidR="007463D7">
        <w:rPr>
          <w:rFonts w:cs="Times New Roman"/>
        </w:rPr>
        <w:t>word-</w:t>
      </w:r>
      <w:r w:rsidR="005C260C">
        <w:rPr>
          <w:rFonts w:cs="Times New Roman"/>
        </w:rPr>
        <w:t xml:space="preserve">groups appear in </w:t>
      </w:r>
      <w:r w:rsidR="007463D7">
        <w:rPr>
          <w:rFonts w:cs="Times New Roman"/>
        </w:rPr>
        <w:t>a single</w:t>
      </w:r>
      <w:r w:rsidR="005C260C">
        <w:rPr>
          <w:rFonts w:cs="Times New Roman"/>
        </w:rPr>
        <w:t xml:space="preserve"> sentence: </w:t>
      </w:r>
      <w:r w:rsidR="00050A76">
        <w:rPr>
          <w:rFonts w:cs="Times New Roman"/>
        </w:rPr>
        <w:t>“</w:t>
      </w:r>
      <w:r w:rsidR="005C260C">
        <w:rPr>
          <w:rFonts w:cs="Times New Roman"/>
        </w:rPr>
        <w:t>she committed adultery by an adulterous act</w:t>
      </w:r>
      <w:r w:rsidR="00050A76">
        <w:rPr>
          <w:rFonts w:cs="Times New Roman"/>
        </w:rPr>
        <w:t>”</w:t>
      </w:r>
      <w:r w:rsidR="005C260C">
        <w:rPr>
          <w:rFonts w:cs="Times New Roman"/>
        </w:rPr>
        <w:t xml:space="preserve"> (</w:t>
      </w:r>
      <w:r w:rsidR="00293B35">
        <w:rPr>
          <w:rFonts w:ascii="Times New Roman" w:hAnsi="Times New Roman" w:cs="Times New Roman"/>
        </w:rPr>
        <w:t xml:space="preserve">ἐν </w:t>
      </w:r>
      <w:r w:rsidR="00293B35">
        <w:rPr>
          <w:rFonts w:cs="Times New Roman"/>
        </w:rPr>
        <w:t>πορνε</w:t>
      </w:r>
      <w:r w:rsidR="00293B35">
        <w:rPr>
          <w:rFonts w:ascii="Times New Roman" w:hAnsi="Times New Roman" w:cs="Times New Roman"/>
        </w:rPr>
        <w:t>ίᾳ ἐμοιχεύθη</w:t>
      </w:r>
      <w:r w:rsidR="005C260C">
        <w:rPr>
          <w:rFonts w:cs="Times New Roman"/>
        </w:rPr>
        <w:t>). Even if the two terms have different semantic ranges, in this context</w:t>
      </w:r>
      <w:r w:rsidR="00380CFE">
        <w:rPr>
          <w:rFonts w:cs="Times New Roman" w:hint="eastAsia"/>
          <w:lang w:eastAsia="zh-TW"/>
        </w:rPr>
        <w:t>,</w:t>
      </w:r>
      <w:r w:rsidR="005C260C">
        <w:rPr>
          <w:rFonts w:cs="Times New Roman"/>
        </w:rPr>
        <w:t xml:space="preserve"> </w:t>
      </w:r>
      <w:r w:rsidR="00293B35">
        <w:rPr>
          <w:rFonts w:cs="Times New Roman"/>
        </w:rPr>
        <w:t>πορνε</w:t>
      </w:r>
      <w:r w:rsidR="00293B35">
        <w:rPr>
          <w:rFonts w:ascii="Times New Roman" w:hAnsi="Times New Roman" w:cs="Times New Roman"/>
        </w:rPr>
        <w:t>ία</w:t>
      </w:r>
      <w:r w:rsidR="00293B35">
        <w:t xml:space="preserve"> </w:t>
      </w:r>
      <w:r w:rsidR="00BE3155">
        <w:t>can refer to</w:t>
      </w:r>
      <w:r w:rsidR="005C260C">
        <w:t xml:space="preserve"> adulterous acts precisely because of its proximity with the</w:t>
      </w:r>
      <w:r w:rsidR="00293B35" w:rsidRPr="008423F0">
        <w:rPr>
          <w:rFonts w:cs="Times New Roman"/>
        </w:rPr>
        <w:t xml:space="preserve"> </w:t>
      </w:r>
      <w:r w:rsidR="00293B35">
        <w:rPr>
          <w:rFonts w:ascii="Times New Roman" w:hAnsi="Times New Roman" w:cs="Times New Roman"/>
        </w:rPr>
        <w:t>μοιχ</w:t>
      </w:r>
      <w:r w:rsidR="005C260C">
        <w:t xml:space="preserve">- word-group. </w:t>
      </w:r>
      <w:r w:rsidR="007A2C7B">
        <w:t xml:space="preserve">Similar juxtaposition of the two word-groups can also be found </w:t>
      </w:r>
      <w:r w:rsidR="00D66CC2">
        <w:t>in</w:t>
      </w:r>
      <w:r w:rsidR="007A2C7B">
        <w:t xml:space="preserve"> the LXX (e.g. </w:t>
      </w:r>
      <w:r w:rsidR="0049795B">
        <w:t>Hos</w:t>
      </w:r>
      <w:r w:rsidR="007A2C7B">
        <w:t xml:space="preserve"> 1</w:t>
      </w:r>
      <w:r w:rsidR="00D32A5D">
        <w:t>:</w:t>
      </w:r>
      <w:r w:rsidR="007A2C7B">
        <w:t>2; 2</w:t>
      </w:r>
      <w:r w:rsidR="00D32A5D">
        <w:t>:</w:t>
      </w:r>
      <w:r w:rsidR="007A2C7B">
        <w:t xml:space="preserve">4; </w:t>
      </w:r>
      <w:r w:rsidR="0049795B">
        <w:t>Jer</w:t>
      </w:r>
      <w:r w:rsidR="007A2C7B">
        <w:t xml:space="preserve"> 3</w:t>
      </w:r>
      <w:r w:rsidR="00D32A5D">
        <w:t>:</w:t>
      </w:r>
      <w:r w:rsidR="007A2C7B">
        <w:t xml:space="preserve">1, 8-9). </w:t>
      </w:r>
      <w:r w:rsidR="005C260C">
        <w:rPr>
          <w:rFonts w:cs="Times New Roman"/>
        </w:rPr>
        <w:t xml:space="preserve">Second, it appears that </w:t>
      </w:r>
      <w:r w:rsidR="00495445">
        <w:rPr>
          <w:rFonts w:cs="Times New Roman"/>
        </w:rPr>
        <w:t xml:space="preserve">the </w:t>
      </w:r>
      <w:r w:rsidR="00293B35">
        <w:rPr>
          <w:rFonts w:ascii="Times New Roman" w:hAnsi="Times New Roman" w:cs="Times New Roman"/>
        </w:rPr>
        <w:t>πορν</w:t>
      </w:r>
      <w:r w:rsidR="00495445">
        <w:t>-</w:t>
      </w:r>
      <w:r w:rsidR="00495445">
        <w:rPr>
          <w:rFonts w:cs="Times New Roman"/>
        </w:rPr>
        <w:t xml:space="preserve"> word-group </w:t>
      </w:r>
      <w:r w:rsidR="00BE3155">
        <w:rPr>
          <w:rFonts w:cs="Times New Roman"/>
        </w:rPr>
        <w:t>is often applied</w:t>
      </w:r>
      <w:r w:rsidR="00495445">
        <w:rPr>
          <w:rFonts w:cs="Times New Roman"/>
        </w:rPr>
        <w:t xml:space="preserve"> to adulterous acts committed by women, while the </w:t>
      </w:r>
      <w:r w:rsidR="00293B35">
        <w:rPr>
          <w:rFonts w:ascii="Times New Roman" w:hAnsi="Times New Roman" w:cs="Times New Roman"/>
        </w:rPr>
        <w:t>μοιχ</w:t>
      </w:r>
      <w:r w:rsidR="00495445">
        <w:t xml:space="preserve">- word-group by </w:t>
      </w:r>
      <w:r w:rsidR="005450CA">
        <w:t>men</w:t>
      </w:r>
      <w:r w:rsidR="00495445">
        <w:t>.</w:t>
      </w:r>
      <w:r w:rsidR="004431C0">
        <w:rPr>
          <w:rStyle w:val="FootnoteReference"/>
        </w:rPr>
        <w:footnoteReference w:id="31"/>
      </w:r>
      <w:r w:rsidR="00495445">
        <w:t xml:space="preserve"> This would fit the uses of the two terms in </w:t>
      </w:r>
      <w:r w:rsidR="00050A76">
        <w:t>Matt</w:t>
      </w:r>
      <w:r w:rsidR="00495445">
        <w:t xml:space="preserve"> </w:t>
      </w:r>
      <w:r w:rsidR="00050A76">
        <w:t>19:</w:t>
      </w:r>
      <w:r w:rsidR="00495445">
        <w:t xml:space="preserve">9. </w:t>
      </w:r>
      <w:r w:rsidR="006140DF">
        <w:t>Third</w:t>
      </w:r>
      <w:r w:rsidR="00495445">
        <w:t xml:space="preserve">, </w:t>
      </w:r>
      <w:r w:rsidR="00BE3155">
        <w:t>it has also been</w:t>
      </w:r>
      <w:r w:rsidR="007A2C7B">
        <w:t xml:space="preserve"> suggested that the more general term</w:t>
      </w:r>
      <w:r w:rsidR="007A2C7B" w:rsidRPr="008423F0">
        <w:rPr>
          <w:rFonts w:cs="Times New Roman"/>
        </w:rPr>
        <w:t xml:space="preserve"> </w:t>
      </w:r>
      <w:r w:rsidR="00293B35">
        <w:rPr>
          <w:rFonts w:cs="Times New Roman"/>
        </w:rPr>
        <w:t>πορνε</w:t>
      </w:r>
      <w:r w:rsidR="00293B35">
        <w:rPr>
          <w:rFonts w:ascii="Times New Roman" w:hAnsi="Times New Roman" w:cs="Times New Roman"/>
        </w:rPr>
        <w:t>ία</w:t>
      </w:r>
      <w:r w:rsidR="00293B35">
        <w:t xml:space="preserve"> </w:t>
      </w:r>
      <w:r w:rsidR="007A2C7B">
        <w:t>may include adulterous act</w:t>
      </w:r>
      <w:r w:rsidR="00C42A5A">
        <w:t>s</w:t>
      </w:r>
      <w:r w:rsidR="007A2C7B">
        <w:t xml:space="preserve"> even during the </w:t>
      </w:r>
      <w:r w:rsidR="004A5BBF">
        <w:t>betrothal</w:t>
      </w:r>
      <w:r w:rsidR="007A2C7B">
        <w:t xml:space="preserve"> period, while</w:t>
      </w:r>
      <w:r w:rsidR="00293B35">
        <w:t xml:space="preserve"> μοιχεία</w:t>
      </w:r>
      <w:r w:rsidR="007A2C7B">
        <w:t xml:space="preserve"> </w:t>
      </w:r>
      <w:r w:rsidR="00C42A5A">
        <w:t>specifically refers to adulterous acts during m</w:t>
      </w:r>
      <w:r w:rsidR="00D72F3A">
        <w:t>arriage</w:t>
      </w:r>
      <w:r w:rsidR="00C42A5A">
        <w:t>.</w:t>
      </w:r>
      <w:r w:rsidR="005450CA">
        <w:rPr>
          <w:rStyle w:val="FootnoteReference"/>
        </w:rPr>
        <w:footnoteReference w:id="32"/>
      </w:r>
      <w:r w:rsidR="007B3E81">
        <w:t xml:space="preserve"> This would also fit the Matthean context well especially in light of Josephs’ act in 1</w:t>
      </w:r>
      <w:r w:rsidR="00D32A5D">
        <w:t>:</w:t>
      </w:r>
      <w:r w:rsidR="007B3E81">
        <w:t>18-25.</w:t>
      </w:r>
    </w:p>
    <w:p w:rsidR="007B3E81" w:rsidRDefault="007B3E81" w:rsidP="006D063A">
      <w:pPr>
        <w:pStyle w:val="FootnoteText"/>
      </w:pPr>
    </w:p>
    <w:p w:rsidR="007B3E81" w:rsidRPr="006D063A" w:rsidRDefault="00744F29" w:rsidP="006D063A">
      <w:pPr>
        <w:pStyle w:val="FootnoteText"/>
        <w:rPr>
          <w:b/>
        </w:rPr>
      </w:pPr>
      <w:r w:rsidRPr="006D063A">
        <w:rPr>
          <w:b/>
        </w:rPr>
        <w:t xml:space="preserve">III. </w:t>
      </w:r>
      <w:r w:rsidRPr="006D063A">
        <w:rPr>
          <w:b/>
        </w:rPr>
        <w:tab/>
      </w:r>
      <w:r w:rsidR="007B3E81" w:rsidRPr="006D063A">
        <w:rPr>
          <w:b/>
        </w:rPr>
        <w:t xml:space="preserve">Adultery and </w:t>
      </w:r>
      <w:r w:rsidR="004A5BBF" w:rsidRPr="006D063A">
        <w:rPr>
          <w:b/>
        </w:rPr>
        <w:t>Covenantal</w:t>
      </w:r>
      <w:r w:rsidR="00D10469" w:rsidRPr="006D063A">
        <w:rPr>
          <w:b/>
        </w:rPr>
        <w:t xml:space="preserve"> </w:t>
      </w:r>
      <w:r w:rsidR="000738CA" w:rsidRPr="006D063A">
        <w:rPr>
          <w:b/>
        </w:rPr>
        <w:t>Infidelity</w:t>
      </w:r>
      <w:r w:rsidR="007B3E81" w:rsidRPr="006D063A">
        <w:rPr>
          <w:b/>
        </w:rPr>
        <w:t xml:space="preserve"> in the Prophet</w:t>
      </w:r>
      <w:r w:rsidR="00E42490" w:rsidRPr="006D063A">
        <w:rPr>
          <w:b/>
        </w:rPr>
        <w:t>ic</w:t>
      </w:r>
      <w:r w:rsidR="007B3E81" w:rsidRPr="006D063A">
        <w:rPr>
          <w:b/>
        </w:rPr>
        <w:t xml:space="preserve"> Traditions</w:t>
      </w:r>
    </w:p>
    <w:p w:rsidR="0037294B" w:rsidRDefault="00293B35" w:rsidP="006D063A">
      <w:pPr>
        <w:pStyle w:val="FootnoteText"/>
        <w:rPr>
          <w:rFonts w:cs="Times New Roman"/>
        </w:rPr>
      </w:pPr>
      <w:r>
        <w:rPr>
          <w:rFonts w:cs="Times New Roman"/>
        </w:rPr>
        <w:t>Πορνε</w:t>
      </w:r>
      <w:r>
        <w:rPr>
          <w:rFonts w:ascii="Times New Roman" w:hAnsi="Times New Roman" w:cs="Times New Roman"/>
        </w:rPr>
        <w:t>ία</w:t>
      </w:r>
      <w:r>
        <w:rPr>
          <w:rFonts w:cs="Times New Roman"/>
        </w:rPr>
        <w:t xml:space="preserve"> </w:t>
      </w:r>
      <w:r w:rsidR="00A651EB">
        <w:rPr>
          <w:rFonts w:cs="Times New Roman"/>
        </w:rPr>
        <w:t>and its related word-group</w:t>
      </w:r>
      <w:r w:rsidR="00AF388B">
        <w:rPr>
          <w:rFonts w:cs="Times New Roman"/>
        </w:rPr>
        <w:t>s</w:t>
      </w:r>
      <w:r w:rsidR="00A651EB">
        <w:rPr>
          <w:rFonts w:cs="Times New Roman"/>
        </w:rPr>
        <w:t xml:space="preserve"> play an important role in the prophetic traditions, especially in Jeremiah and Hosea, in the depiction of God’s unfaithful covenantal partner. Linguistic </w:t>
      </w:r>
      <w:r w:rsidR="00BE3155">
        <w:rPr>
          <w:rFonts w:cs="Times New Roman"/>
        </w:rPr>
        <w:t xml:space="preserve">and thematic </w:t>
      </w:r>
      <w:r w:rsidR="00A651EB">
        <w:rPr>
          <w:rFonts w:cs="Times New Roman"/>
        </w:rPr>
        <w:t xml:space="preserve">parallels will demonstrate that Matthew is aware of the adultery discourses in these two prophets, and these discourses will in turn illuminate the function of the Matthean adultery-divorce discussion in </w:t>
      </w:r>
      <w:r w:rsidR="00050A76">
        <w:rPr>
          <w:rFonts w:cs="Times New Roman"/>
        </w:rPr>
        <w:t>19:</w:t>
      </w:r>
      <w:r w:rsidR="00A651EB">
        <w:rPr>
          <w:rFonts w:cs="Times New Roman"/>
        </w:rPr>
        <w:t>1-12.</w:t>
      </w:r>
      <w:r w:rsidR="0037294B">
        <w:rPr>
          <w:rFonts w:cs="Times New Roman"/>
        </w:rPr>
        <w:t xml:space="preserve"> Significantly, all three authors ground their discussion</w:t>
      </w:r>
      <w:r w:rsidR="00BE3155">
        <w:rPr>
          <w:rFonts w:cs="Times New Roman"/>
        </w:rPr>
        <w:t xml:space="preserve">s </w:t>
      </w:r>
      <w:r w:rsidR="00AF388B">
        <w:rPr>
          <w:rFonts w:cs="Times New Roman"/>
        </w:rPr>
        <w:t>in</w:t>
      </w:r>
      <w:r w:rsidR="0037294B">
        <w:rPr>
          <w:rFonts w:cs="Times New Roman"/>
        </w:rPr>
        <w:t xml:space="preserve"> the Mosaic stipulations in Deut 24</w:t>
      </w:r>
      <w:r w:rsidR="00D32A5D">
        <w:rPr>
          <w:rFonts w:cs="Times New Roman"/>
        </w:rPr>
        <w:t>:</w:t>
      </w:r>
      <w:r w:rsidR="0037294B">
        <w:rPr>
          <w:rFonts w:cs="Times New Roman"/>
        </w:rPr>
        <w:t>1-4.</w:t>
      </w:r>
    </w:p>
    <w:p w:rsidR="0037294B" w:rsidRDefault="0037294B" w:rsidP="006D063A">
      <w:pPr>
        <w:pStyle w:val="FootnoteText"/>
        <w:rPr>
          <w:rFonts w:cs="Times New Roman"/>
        </w:rPr>
      </w:pPr>
    </w:p>
    <w:p w:rsidR="00A651EB" w:rsidRPr="000738CA" w:rsidRDefault="00F12833" w:rsidP="006D063A">
      <w:pPr>
        <w:pStyle w:val="FootnoteText"/>
        <w:rPr>
          <w:rFonts w:cs="Times New Roman"/>
          <w:i/>
        </w:rPr>
      </w:pPr>
      <w:r>
        <w:rPr>
          <w:rFonts w:cs="Times New Roman"/>
          <w:i/>
        </w:rPr>
        <w:t xml:space="preserve">a. </w:t>
      </w:r>
      <w:r>
        <w:rPr>
          <w:rFonts w:cs="Times New Roman"/>
          <w:i/>
        </w:rPr>
        <w:tab/>
      </w:r>
      <w:r w:rsidR="00261284">
        <w:rPr>
          <w:rFonts w:cs="Times New Roman"/>
          <w:i/>
        </w:rPr>
        <w:t>Jeremiah and the Adulterous People of God</w:t>
      </w:r>
    </w:p>
    <w:p w:rsidR="009600E0" w:rsidRPr="00293B35" w:rsidRDefault="000738CA" w:rsidP="006D063A">
      <w:pPr>
        <w:pStyle w:val="FootnoteText"/>
        <w:rPr>
          <w:rFonts w:ascii="Times New Roman" w:hAnsi="Times New Roman" w:cs="Times New Roman"/>
        </w:rPr>
      </w:pPr>
      <w:r>
        <w:rPr>
          <w:rFonts w:cs="Times New Roman"/>
        </w:rPr>
        <w:tab/>
      </w:r>
      <w:r w:rsidR="00F12833">
        <w:rPr>
          <w:rFonts w:cs="Times New Roman"/>
        </w:rPr>
        <w:t xml:space="preserve">While </w:t>
      </w:r>
      <w:r w:rsidR="00050A76">
        <w:rPr>
          <w:rFonts w:cs="Times New Roman"/>
        </w:rPr>
        <w:t>Matt</w:t>
      </w:r>
      <w:r w:rsidR="00F12833">
        <w:rPr>
          <w:rFonts w:cs="Times New Roman"/>
        </w:rPr>
        <w:t xml:space="preserve"> </w:t>
      </w:r>
      <w:r w:rsidR="00050A76">
        <w:rPr>
          <w:rFonts w:cs="Times New Roman"/>
        </w:rPr>
        <w:t>19:</w:t>
      </w:r>
      <w:r w:rsidR="00F12833">
        <w:rPr>
          <w:rFonts w:cs="Times New Roman"/>
        </w:rPr>
        <w:t xml:space="preserve">1-12 is often taken as addressing a legal matter that affects </w:t>
      </w:r>
      <w:r w:rsidR="00A40FB1">
        <w:rPr>
          <w:rFonts w:cs="Times New Roman"/>
        </w:rPr>
        <w:t xml:space="preserve">primarily </w:t>
      </w:r>
      <w:r w:rsidR="00F12833">
        <w:rPr>
          <w:rFonts w:cs="Times New Roman"/>
        </w:rPr>
        <w:t xml:space="preserve">individual households, embedded in this passage is </w:t>
      </w:r>
      <w:r w:rsidR="00527DFD">
        <w:rPr>
          <w:rFonts w:cs="Times New Roman"/>
        </w:rPr>
        <w:t xml:space="preserve">a </w:t>
      </w:r>
      <w:r w:rsidR="00F12833">
        <w:rPr>
          <w:rFonts w:cs="Times New Roman"/>
        </w:rPr>
        <w:t xml:space="preserve">critique of those among God’s people who refuse to respond to the words and deeds of his Messiah. In </w:t>
      </w:r>
      <w:r w:rsidR="00050A76">
        <w:rPr>
          <w:rFonts w:cs="Times New Roman"/>
        </w:rPr>
        <w:t>19:</w:t>
      </w:r>
      <w:r w:rsidR="00F12833">
        <w:rPr>
          <w:rFonts w:cs="Times New Roman"/>
        </w:rPr>
        <w:t>8, Jesus claims that Moses allows for the possibility of divorce because of their</w:t>
      </w:r>
      <w:r w:rsidR="00293B35">
        <w:rPr>
          <w:rFonts w:cs="Times New Roman"/>
        </w:rPr>
        <w:t xml:space="preserve"> τ</w:t>
      </w:r>
      <w:r w:rsidR="00293B35">
        <w:rPr>
          <w:rFonts w:ascii="Times New Roman" w:hAnsi="Times New Roman" w:cs="Times New Roman"/>
        </w:rPr>
        <w:t>ὴν σκληροκαρδίαν</w:t>
      </w:r>
      <w:r w:rsidR="00F12833">
        <w:rPr>
          <w:rFonts w:cs="Times New Roman"/>
        </w:rPr>
        <w:t xml:space="preserve"> (</w:t>
      </w:r>
      <w:r w:rsidR="00050A76">
        <w:rPr>
          <w:rFonts w:cs="Times New Roman"/>
        </w:rPr>
        <w:t>“</w:t>
      </w:r>
      <w:r w:rsidR="00F83B35">
        <w:rPr>
          <w:rFonts w:cs="Times New Roman"/>
        </w:rPr>
        <w:t>hard heart</w:t>
      </w:r>
      <w:r w:rsidR="00D66CC2">
        <w:rPr>
          <w:rFonts w:cs="Times New Roman"/>
        </w:rPr>
        <w:t>s</w:t>
      </w:r>
      <w:r w:rsidR="00050A76">
        <w:rPr>
          <w:rFonts w:cs="Times New Roman"/>
        </w:rPr>
        <w:t>”</w:t>
      </w:r>
      <w:r w:rsidR="00F12833">
        <w:rPr>
          <w:rFonts w:cs="Times New Roman"/>
        </w:rPr>
        <w:t>).</w:t>
      </w:r>
      <w:r w:rsidR="00D66CC2">
        <w:rPr>
          <w:rStyle w:val="FootnoteReference"/>
          <w:rFonts w:cs="Times New Roman"/>
        </w:rPr>
        <w:footnoteReference w:id="33"/>
      </w:r>
      <w:r w:rsidR="00EA7850">
        <w:rPr>
          <w:rFonts w:cs="Times New Roman"/>
        </w:rPr>
        <w:t xml:space="preserve"> In the canonical sections of LXX, </w:t>
      </w:r>
      <w:r w:rsidR="00293B35">
        <w:rPr>
          <w:rFonts w:cs="Times New Roman"/>
        </w:rPr>
        <w:t xml:space="preserve">σκληροκαρδία </w:t>
      </w:r>
      <w:r w:rsidR="00EA7850">
        <w:rPr>
          <w:rFonts w:cs="Times New Roman"/>
        </w:rPr>
        <w:t>appears only in Deut</w:t>
      </w:r>
      <w:r w:rsidR="005C2770">
        <w:rPr>
          <w:rFonts w:cs="Times New Roman"/>
        </w:rPr>
        <w:t xml:space="preserve"> 10</w:t>
      </w:r>
      <w:r w:rsidR="00D32A5D">
        <w:rPr>
          <w:rFonts w:cs="Times New Roman"/>
        </w:rPr>
        <w:t>:</w:t>
      </w:r>
      <w:r w:rsidR="005C2770">
        <w:rPr>
          <w:rFonts w:cs="Times New Roman"/>
        </w:rPr>
        <w:t xml:space="preserve">16 and </w:t>
      </w:r>
      <w:r w:rsidR="0049795B">
        <w:rPr>
          <w:rFonts w:cs="Times New Roman"/>
        </w:rPr>
        <w:t>Jer</w:t>
      </w:r>
      <w:r w:rsidR="00D32A5D">
        <w:rPr>
          <w:rFonts w:cs="Times New Roman"/>
        </w:rPr>
        <w:t xml:space="preserve"> 4:</w:t>
      </w:r>
      <w:r w:rsidR="005C2770">
        <w:rPr>
          <w:rFonts w:cs="Times New Roman"/>
        </w:rPr>
        <w:t>4,</w:t>
      </w:r>
      <w:r w:rsidR="005C2770">
        <w:rPr>
          <w:rStyle w:val="FootnoteReference"/>
          <w:rFonts w:cs="Times New Roman"/>
        </w:rPr>
        <w:footnoteReference w:id="34"/>
      </w:r>
      <w:r w:rsidR="005C2770">
        <w:rPr>
          <w:rFonts w:cs="Times New Roman"/>
        </w:rPr>
        <w:t xml:space="preserve"> </w:t>
      </w:r>
      <w:r w:rsidR="00AF388B">
        <w:rPr>
          <w:rFonts w:cs="Times New Roman"/>
        </w:rPr>
        <w:t>and</w:t>
      </w:r>
      <w:r w:rsidR="005C2770">
        <w:rPr>
          <w:rFonts w:cs="Times New Roman"/>
        </w:rPr>
        <w:t xml:space="preserve"> an allusion to</w:t>
      </w:r>
      <w:r w:rsidR="001134D6">
        <w:rPr>
          <w:rFonts w:cs="Times New Roman"/>
        </w:rPr>
        <w:t xml:space="preserve"> at least</w:t>
      </w:r>
      <w:r w:rsidR="005C2770">
        <w:rPr>
          <w:rFonts w:cs="Times New Roman"/>
        </w:rPr>
        <w:t xml:space="preserve"> one of these two passages is likely because it is found only in the LXX among Greek literature prior to the New Testament.</w:t>
      </w:r>
      <w:r w:rsidR="005C2770">
        <w:rPr>
          <w:rStyle w:val="FootnoteReference"/>
          <w:rFonts w:cs="Times New Roman"/>
        </w:rPr>
        <w:footnoteReference w:id="35"/>
      </w:r>
      <w:r w:rsidR="005C2770">
        <w:rPr>
          <w:rFonts w:cs="Times New Roman"/>
        </w:rPr>
        <w:t xml:space="preserve"> Among the two, the closest in context is </w:t>
      </w:r>
      <w:r w:rsidR="0049795B">
        <w:rPr>
          <w:rFonts w:cs="Times New Roman"/>
        </w:rPr>
        <w:t>Jer</w:t>
      </w:r>
      <w:r w:rsidR="005C2770">
        <w:rPr>
          <w:rFonts w:cs="Times New Roman"/>
        </w:rPr>
        <w:t xml:space="preserve"> 4</w:t>
      </w:r>
      <w:r w:rsidR="00D32A5D">
        <w:rPr>
          <w:rFonts w:cs="Times New Roman"/>
        </w:rPr>
        <w:t>:</w:t>
      </w:r>
      <w:r w:rsidR="005C2770">
        <w:rPr>
          <w:rFonts w:cs="Times New Roman"/>
        </w:rPr>
        <w:t xml:space="preserve">4 since both passages </w:t>
      </w:r>
      <w:r w:rsidR="00B2644A">
        <w:rPr>
          <w:rFonts w:cs="Times New Roman"/>
        </w:rPr>
        <w:t>(</w:t>
      </w:r>
      <w:r w:rsidR="00050A76">
        <w:rPr>
          <w:rFonts w:cs="Times New Roman"/>
        </w:rPr>
        <w:t>Matt</w:t>
      </w:r>
      <w:r w:rsidR="00B2644A">
        <w:rPr>
          <w:rFonts w:cs="Times New Roman"/>
        </w:rPr>
        <w:t xml:space="preserve"> </w:t>
      </w:r>
      <w:r w:rsidR="00050A76">
        <w:rPr>
          <w:rFonts w:cs="Times New Roman"/>
        </w:rPr>
        <w:t>19:</w:t>
      </w:r>
      <w:r w:rsidR="00B2644A">
        <w:rPr>
          <w:rFonts w:cs="Times New Roman"/>
        </w:rPr>
        <w:t xml:space="preserve">1-12 and </w:t>
      </w:r>
      <w:r w:rsidR="0049795B">
        <w:rPr>
          <w:rFonts w:cs="Times New Roman"/>
        </w:rPr>
        <w:t>Jer</w:t>
      </w:r>
      <w:r w:rsidR="00B2644A">
        <w:rPr>
          <w:rFonts w:cs="Times New Roman"/>
        </w:rPr>
        <w:t xml:space="preserve"> 3</w:t>
      </w:r>
      <w:r w:rsidR="00D32A5D">
        <w:rPr>
          <w:rFonts w:cs="Times New Roman"/>
        </w:rPr>
        <w:t>:</w:t>
      </w:r>
      <w:r w:rsidR="00B2644A">
        <w:rPr>
          <w:rFonts w:cs="Times New Roman"/>
        </w:rPr>
        <w:t>1-4</w:t>
      </w:r>
      <w:r w:rsidR="00D32A5D">
        <w:rPr>
          <w:rFonts w:cs="Times New Roman"/>
        </w:rPr>
        <w:t>:</w:t>
      </w:r>
      <w:r w:rsidR="00B2644A">
        <w:rPr>
          <w:rFonts w:cs="Times New Roman"/>
        </w:rPr>
        <w:t xml:space="preserve">4) </w:t>
      </w:r>
      <w:r w:rsidR="00D37500">
        <w:rPr>
          <w:rFonts w:cs="Times New Roman"/>
        </w:rPr>
        <w:t>deal</w:t>
      </w:r>
      <w:r w:rsidR="005C2770">
        <w:rPr>
          <w:rFonts w:cs="Times New Roman"/>
        </w:rPr>
        <w:t xml:space="preserve"> with the question of divorce</w:t>
      </w:r>
      <w:r w:rsidR="00B2644A">
        <w:rPr>
          <w:rFonts w:cs="Times New Roman"/>
        </w:rPr>
        <w:t xml:space="preserve"> </w:t>
      </w:r>
      <w:r w:rsidR="005C2770">
        <w:rPr>
          <w:rFonts w:cs="Times New Roman"/>
        </w:rPr>
        <w:t>and bo</w:t>
      </w:r>
      <w:r w:rsidR="00B2644A">
        <w:rPr>
          <w:rFonts w:cs="Times New Roman"/>
        </w:rPr>
        <w:t>th a</w:t>
      </w:r>
      <w:r w:rsidR="00D32A5D">
        <w:rPr>
          <w:rFonts w:cs="Times New Roman"/>
        </w:rPr>
        <w:t>re grounded in Deut</w:t>
      </w:r>
      <w:r w:rsidR="000E7FB7">
        <w:rPr>
          <w:rFonts w:cs="Times New Roman"/>
        </w:rPr>
        <w:t xml:space="preserve"> 24</w:t>
      </w:r>
      <w:r w:rsidR="00D32A5D">
        <w:rPr>
          <w:rFonts w:cs="Times New Roman"/>
        </w:rPr>
        <w:t>:</w:t>
      </w:r>
      <w:r w:rsidR="000E7FB7">
        <w:rPr>
          <w:rFonts w:cs="Times New Roman"/>
        </w:rPr>
        <w:t>1-4</w:t>
      </w:r>
      <w:r w:rsidR="00B2644A">
        <w:rPr>
          <w:rFonts w:cs="Times New Roman"/>
        </w:rPr>
        <w:t>.</w:t>
      </w:r>
      <w:r w:rsidR="00B2644A">
        <w:rPr>
          <w:rStyle w:val="FootnoteReference"/>
          <w:rFonts w:cs="Times New Roman"/>
        </w:rPr>
        <w:footnoteReference w:id="36"/>
      </w:r>
      <w:r w:rsidR="00B2644A">
        <w:rPr>
          <w:rFonts w:cs="Times New Roman"/>
        </w:rPr>
        <w:t xml:space="preserve"> </w:t>
      </w:r>
      <w:r w:rsidR="005F7AF9">
        <w:rPr>
          <w:rFonts w:cs="Times New Roman"/>
        </w:rPr>
        <w:t>It has even been sugges</w:t>
      </w:r>
      <w:r w:rsidR="004372FE">
        <w:rPr>
          <w:rFonts w:cs="Times New Roman"/>
        </w:rPr>
        <w:t xml:space="preserve">ted that </w:t>
      </w:r>
      <w:r w:rsidR="0049795B">
        <w:rPr>
          <w:rFonts w:cs="Times New Roman"/>
        </w:rPr>
        <w:t>Jer</w:t>
      </w:r>
      <w:r w:rsidR="007077D7">
        <w:rPr>
          <w:rFonts w:cs="Times New Roman"/>
        </w:rPr>
        <w:t>emiah</w:t>
      </w:r>
      <w:r w:rsidR="004372FE">
        <w:rPr>
          <w:rFonts w:cs="Times New Roman"/>
        </w:rPr>
        <w:t xml:space="preserve"> 3-4 provide</w:t>
      </w:r>
      <w:r w:rsidR="00D32A5D">
        <w:rPr>
          <w:rFonts w:cs="Times New Roman"/>
        </w:rPr>
        <w:t>s the missing link between Deut</w:t>
      </w:r>
      <w:r w:rsidR="007077D7">
        <w:rPr>
          <w:rFonts w:cs="Times New Roman"/>
        </w:rPr>
        <w:t>eronomy</w:t>
      </w:r>
      <w:r w:rsidR="004372FE">
        <w:rPr>
          <w:rFonts w:cs="Times New Roman"/>
        </w:rPr>
        <w:t xml:space="preserve"> 24 and the Matthean discourses on divorce</w:t>
      </w:r>
      <w:r w:rsidR="00B05437">
        <w:rPr>
          <w:rFonts w:cs="Times New Roman"/>
        </w:rPr>
        <w:t xml:space="preserve"> as both expand and qualify the Mosaic legislation</w:t>
      </w:r>
      <w:r w:rsidR="00F83B35">
        <w:rPr>
          <w:rFonts w:cs="Times New Roman"/>
        </w:rPr>
        <w:t xml:space="preserve"> on divorce</w:t>
      </w:r>
      <w:r w:rsidR="004372FE">
        <w:rPr>
          <w:rFonts w:cs="Times New Roman"/>
        </w:rPr>
        <w:t>.</w:t>
      </w:r>
      <w:r w:rsidR="004372FE">
        <w:rPr>
          <w:rStyle w:val="FootnoteReference"/>
          <w:rFonts w:cs="Times New Roman"/>
        </w:rPr>
        <w:footnoteReference w:id="37"/>
      </w:r>
      <w:r w:rsidR="004372FE">
        <w:rPr>
          <w:rFonts w:cs="Times New Roman"/>
        </w:rPr>
        <w:t xml:space="preserve"> </w:t>
      </w:r>
      <w:r w:rsidR="003B71D0">
        <w:rPr>
          <w:rFonts w:cs="Times New Roman"/>
        </w:rPr>
        <w:t xml:space="preserve">For </w:t>
      </w:r>
      <w:r w:rsidR="00D66CC2">
        <w:rPr>
          <w:rFonts w:cs="Times New Roman"/>
        </w:rPr>
        <w:t>this G</w:t>
      </w:r>
      <w:r w:rsidR="00FF3C60">
        <w:rPr>
          <w:rFonts w:cs="Times New Roman"/>
        </w:rPr>
        <w:t>ospel writer</w:t>
      </w:r>
      <w:r w:rsidR="009D3BF0">
        <w:rPr>
          <w:rFonts w:cs="Times New Roman" w:hint="eastAsia"/>
          <w:lang w:eastAsia="zh-TW"/>
        </w:rPr>
        <w:t>,</w:t>
      </w:r>
      <w:r w:rsidR="003B71D0">
        <w:rPr>
          <w:rFonts w:cs="Times New Roman"/>
        </w:rPr>
        <w:t xml:space="preserve"> who has a special interest in the prophet Jeremiah, this connection is perhaps not surprising</w:t>
      </w:r>
      <w:r w:rsidR="00E77F19">
        <w:rPr>
          <w:rFonts w:cs="Times New Roman"/>
        </w:rPr>
        <w:t>,</w:t>
      </w:r>
      <w:r w:rsidR="003B71D0">
        <w:rPr>
          <w:rStyle w:val="FootnoteReference"/>
          <w:rFonts w:cs="Times New Roman"/>
        </w:rPr>
        <w:footnoteReference w:id="38"/>
      </w:r>
      <w:r w:rsidR="00E77F19">
        <w:rPr>
          <w:rFonts w:cs="Times New Roman"/>
        </w:rPr>
        <w:t xml:space="preserve"> even though this teaching </w:t>
      </w:r>
      <w:r w:rsidR="0020548C">
        <w:rPr>
          <w:rFonts w:cs="Times New Roman"/>
        </w:rPr>
        <w:t>is</w:t>
      </w:r>
      <w:r w:rsidR="00E77F19">
        <w:rPr>
          <w:rFonts w:cs="Times New Roman"/>
        </w:rPr>
        <w:t xml:space="preserve"> </w:t>
      </w:r>
      <w:r w:rsidR="00D06D86">
        <w:rPr>
          <w:rFonts w:cs="Times New Roman"/>
        </w:rPr>
        <w:t xml:space="preserve">likely </w:t>
      </w:r>
      <w:r w:rsidR="00E77F19">
        <w:rPr>
          <w:rFonts w:cs="Times New Roman"/>
        </w:rPr>
        <w:t xml:space="preserve">rooted in </w:t>
      </w:r>
      <w:r w:rsidR="0020548C">
        <w:rPr>
          <w:rFonts w:cs="Times New Roman"/>
        </w:rPr>
        <w:t>earlier traditions</w:t>
      </w:r>
      <w:r w:rsidR="00E77F19">
        <w:rPr>
          <w:rFonts w:cs="Times New Roman"/>
        </w:rPr>
        <w:t xml:space="preserve"> in light of the Markan parallel in 10</w:t>
      </w:r>
      <w:r w:rsidR="00D32A5D">
        <w:rPr>
          <w:rFonts w:cs="Times New Roman"/>
        </w:rPr>
        <w:t>:</w:t>
      </w:r>
      <w:r w:rsidR="00E77F19">
        <w:rPr>
          <w:rFonts w:cs="Times New Roman"/>
        </w:rPr>
        <w:t>5.</w:t>
      </w:r>
      <w:r w:rsidR="00E77F19">
        <w:rPr>
          <w:rStyle w:val="FootnoteReference"/>
          <w:rFonts w:cs="Times New Roman"/>
        </w:rPr>
        <w:footnoteReference w:id="39"/>
      </w:r>
      <w:r w:rsidR="003B71D0">
        <w:rPr>
          <w:rFonts w:cs="Times New Roman"/>
        </w:rPr>
        <w:t xml:space="preserve"> </w:t>
      </w:r>
      <w:r w:rsidR="009600E0">
        <w:rPr>
          <w:rFonts w:cs="Times New Roman"/>
        </w:rPr>
        <w:t xml:space="preserve">What has not been </w:t>
      </w:r>
      <w:r w:rsidR="00D66CC2">
        <w:rPr>
          <w:rFonts w:cs="Times New Roman"/>
        </w:rPr>
        <w:t>shown</w:t>
      </w:r>
      <w:r w:rsidR="009600E0">
        <w:rPr>
          <w:rFonts w:cs="Times New Roman"/>
        </w:rPr>
        <w:t xml:space="preserve">, however, is the significance of this </w:t>
      </w:r>
      <w:r w:rsidR="00FF3C60">
        <w:rPr>
          <w:rFonts w:cs="Times New Roman"/>
        </w:rPr>
        <w:t xml:space="preserve">scriptural </w:t>
      </w:r>
      <w:r w:rsidR="009600E0">
        <w:rPr>
          <w:rFonts w:cs="Times New Roman"/>
        </w:rPr>
        <w:t xml:space="preserve">allusion for the reading of </w:t>
      </w:r>
      <w:r w:rsidR="00050A76">
        <w:rPr>
          <w:rFonts w:cs="Times New Roman"/>
        </w:rPr>
        <w:t>Matt</w:t>
      </w:r>
      <w:r w:rsidR="009600E0">
        <w:rPr>
          <w:rFonts w:cs="Times New Roman"/>
        </w:rPr>
        <w:t xml:space="preserve"> </w:t>
      </w:r>
      <w:r w:rsidR="00050A76">
        <w:rPr>
          <w:rFonts w:cs="Times New Roman"/>
        </w:rPr>
        <w:t>19:</w:t>
      </w:r>
      <w:r w:rsidR="009600E0">
        <w:rPr>
          <w:rFonts w:cs="Times New Roman"/>
        </w:rPr>
        <w:t>1-12</w:t>
      </w:r>
      <w:r w:rsidR="009461E9">
        <w:rPr>
          <w:rFonts w:cs="Times New Roman"/>
        </w:rPr>
        <w:t xml:space="preserve">, especially the uniquely Matthean exception clause in </w:t>
      </w:r>
      <w:r w:rsidR="00050A76">
        <w:rPr>
          <w:rFonts w:cs="Times New Roman"/>
        </w:rPr>
        <w:t>19:</w:t>
      </w:r>
      <w:r w:rsidR="009461E9">
        <w:rPr>
          <w:rFonts w:cs="Times New Roman"/>
        </w:rPr>
        <w:t>9</w:t>
      </w:r>
      <w:r w:rsidR="009600E0">
        <w:rPr>
          <w:rFonts w:cs="Times New Roman"/>
        </w:rPr>
        <w:t>.</w:t>
      </w:r>
    </w:p>
    <w:p w:rsidR="00E22E52" w:rsidRDefault="0049795B" w:rsidP="006D063A">
      <w:pPr>
        <w:pStyle w:val="FootnoteText"/>
        <w:ind w:firstLine="720"/>
        <w:rPr>
          <w:rFonts w:cs="Times New Roman"/>
        </w:rPr>
      </w:pPr>
      <w:r>
        <w:rPr>
          <w:rFonts w:cs="Times New Roman"/>
        </w:rPr>
        <w:t>Jer</w:t>
      </w:r>
      <w:r w:rsidR="00B2644A">
        <w:rPr>
          <w:rFonts w:cs="Times New Roman"/>
        </w:rPr>
        <w:t xml:space="preserve"> 4</w:t>
      </w:r>
      <w:r w:rsidR="00D32A5D">
        <w:rPr>
          <w:rFonts w:cs="Times New Roman"/>
        </w:rPr>
        <w:t>:</w:t>
      </w:r>
      <w:r w:rsidR="00B2644A">
        <w:rPr>
          <w:rFonts w:cs="Times New Roman"/>
        </w:rPr>
        <w:t>4 is the conclusion</w:t>
      </w:r>
      <w:r w:rsidR="00D66CC2">
        <w:rPr>
          <w:rFonts w:cs="Times New Roman"/>
        </w:rPr>
        <w:t xml:space="preserve"> of a</w:t>
      </w:r>
      <w:r w:rsidR="00B05437">
        <w:rPr>
          <w:rFonts w:cs="Times New Roman"/>
        </w:rPr>
        <w:t xml:space="preserve"> section that begins in 3</w:t>
      </w:r>
      <w:r w:rsidR="00D32A5D">
        <w:rPr>
          <w:rFonts w:cs="Times New Roman"/>
        </w:rPr>
        <w:t>:</w:t>
      </w:r>
      <w:r w:rsidR="00B05437">
        <w:rPr>
          <w:rFonts w:cs="Times New Roman"/>
        </w:rPr>
        <w:t>1</w:t>
      </w:r>
      <w:r w:rsidR="00F83B35">
        <w:rPr>
          <w:rStyle w:val="FootnoteReference"/>
          <w:rFonts w:cs="Times New Roman"/>
        </w:rPr>
        <w:footnoteReference w:id="40"/>
      </w:r>
      <w:r w:rsidR="00B05437">
        <w:rPr>
          <w:rFonts w:cs="Times New Roman"/>
        </w:rPr>
        <w:t xml:space="preserve"> where </w:t>
      </w:r>
      <w:r w:rsidR="00E22E52">
        <w:rPr>
          <w:rFonts w:cs="Times New Roman"/>
        </w:rPr>
        <w:t xml:space="preserve">the author </w:t>
      </w:r>
      <w:r w:rsidR="006A0969">
        <w:rPr>
          <w:rFonts w:cs="Times New Roman"/>
        </w:rPr>
        <w:t xml:space="preserve">bases his discussion on </w:t>
      </w:r>
      <w:r w:rsidR="001C5406">
        <w:rPr>
          <w:rFonts w:cs="Times New Roman"/>
        </w:rPr>
        <w:t>the legal material i</w:t>
      </w:r>
      <w:r w:rsidR="00D32A5D">
        <w:rPr>
          <w:rFonts w:cs="Times New Roman"/>
        </w:rPr>
        <w:t>n Deut</w:t>
      </w:r>
      <w:r w:rsidR="001C5406">
        <w:rPr>
          <w:rFonts w:cs="Times New Roman"/>
        </w:rPr>
        <w:t xml:space="preserve"> 24</w:t>
      </w:r>
      <w:r w:rsidR="00D32A5D">
        <w:rPr>
          <w:rFonts w:cs="Times New Roman"/>
        </w:rPr>
        <w:t>:</w:t>
      </w:r>
      <w:r w:rsidR="001C5406">
        <w:rPr>
          <w:rFonts w:cs="Times New Roman"/>
        </w:rPr>
        <w:t xml:space="preserve">1-4 concerning the possibility of the return of a divorced wife and then applies such material to God’s </w:t>
      </w:r>
      <w:r w:rsidR="004A5BBF">
        <w:rPr>
          <w:rFonts w:cs="Times New Roman"/>
        </w:rPr>
        <w:t>unfaithful</w:t>
      </w:r>
      <w:r w:rsidR="001C5406">
        <w:rPr>
          <w:rFonts w:cs="Times New Roman"/>
        </w:rPr>
        <w:t xml:space="preserve"> people:</w:t>
      </w:r>
    </w:p>
    <w:p w:rsidR="00E22E52" w:rsidRPr="001C5406" w:rsidRDefault="00E22E52" w:rsidP="006D063A">
      <w:pPr>
        <w:pStyle w:val="FootnoteText"/>
        <w:ind w:firstLine="720"/>
      </w:pPr>
    </w:p>
    <w:p w:rsidR="001C5406" w:rsidRPr="001C5406" w:rsidRDefault="001C5406" w:rsidP="006D063A">
      <w:pPr>
        <w:ind w:firstLine="720"/>
      </w:pPr>
      <w:r w:rsidRPr="001C5406">
        <w:t>If a man dismisses his wife</w:t>
      </w:r>
    </w:p>
    <w:p w:rsidR="001C5406" w:rsidRPr="001C5406" w:rsidRDefault="001C5406" w:rsidP="006D063A">
      <w:r w:rsidRPr="001C5406">
        <w:tab/>
      </w:r>
      <w:r w:rsidRPr="001C5406">
        <w:tab/>
        <w:t>and she goes from him</w:t>
      </w:r>
    </w:p>
    <w:p w:rsidR="001C5406" w:rsidRPr="001C5406" w:rsidRDefault="001C5406" w:rsidP="006D063A">
      <w:r w:rsidRPr="001C5406">
        <w:tab/>
        <w:t>and becomes another man’s,</w:t>
      </w:r>
    </w:p>
    <w:p w:rsidR="001C5406" w:rsidRPr="001C5406" w:rsidRDefault="001C5406" w:rsidP="006D063A">
      <w:r w:rsidRPr="001C5406">
        <w:tab/>
      </w:r>
      <w:r w:rsidRPr="001C5406">
        <w:tab/>
        <w:t>surely, if she returns, she will not return any more to him?</w:t>
      </w:r>
    </w:p>
    <w:p w:rsidR="001C5406" w:rsidRPr="001C5406" w:rsidRDefault="001C5406" w:rsidP="006D063A">
      <w:r w:rsidRPr="001C5406">
        <w:tab/>
        <w:t>Surely when she becomes polluted,</w:t>
      </w:r>
    </w:p>
    <w:p w:rsidR="001C5406" w:rsidRPr="001C5406" w:rsidRDefault="001C5406" w:rsidP="006D063A">
      <w:r w:rsidRPr="001C5406">
        <w:tab/>
      </w:r>
      <w:r w:rsidRPr="001C5406">
        <w:tab/>
        <w:t>that woman will be polluted?</w:t>
      </w:r>
    </w:p>
    <w:p w:rsidR="001C5406" w:rsidRPr="001C5406" w:rsidRDefault="001C5406" w:rsidP="006D063A">
      <w:r w:rsidRPr="001C5406">
        <w:tab/>
        <w:t>And you have played the whore</w:t>
      </w:r>
      <w:r>
        <w:t xml:space="preserve"> (</w:t>
      </w:r>
      <w:r w:rsidR="00E12002">
        <w:rPr>
          <w:rFonts w:ascii="Times New Roman" w:hAnsi="Times New Roman" w:cs="Times New Roman"/>
        </w:rPr>
        <w:t>ἐξεπόρνευσας</w:t>
      </w:r>
      <w:r>
        <w:t>)</w:t>
      </w:r>
      <w:r w:rsidRPr="001C5406">
        <w:t xml:space="preserve"> with many shepherds,</w:t>
      </w:r>
    </w:p>
    <w:p w:rsidR="001C5406" w:rsidRPr="001C5406" w:rsidRDefault="001C5406" w:rsidP="006D063A">
      <w:r w:rsidRPr="001C5406">
        <w:tab/>
      </w:r>
      <w:r w:rsidRPr="001C5406">
        <w:tab/>
        <w:t>and would you return to me?</w:t>
      </w:r>
    </w:p>
    <w:p w:rsidR="001C5406" w:rsidRDefault="001C5406" w:rsidP="006D063A">
      <w:pPr>
        <w:pStyle w:val="FootnoteText"/>
        <w:ind w:left="720" w:firstLine="720"/>
      </w:pPr>
      <w:r w:rsidRPr="001C5406">
        <w:tab/>
      </w:r>
      <w:r w:rsidRPr="001C5406">
        <w:tab/>
      </w:r>
      <w:r w:rsidRPr="001C5406">
        <w:tab/>
      </w:r>
      <w:r w:rsidRPr="001C5406">
        <w:tab/>
        <w:t>says the Lord.</w:t>
      </w:r>
      <w:r w:rsidR="00F83B35">
        <w:t xml:space="preserve"> (</w:t>
      </w:r>
      <w:r w:rsidR="0049795B">
        <w:t>Jer</w:t>
      </w:r>
      <w:r w:rsidR="00AF388B">
        <w:t xml:space="preserve"> </w:t>
      </w:r>
      <w:r w:rsidR="00F83B35">
        <w:t>3</w:t>
      </w:r>
      <w:r w:rsidR="00D32A5D">
        <w:t>:</w:t>
      </w:r>
      <w:r w:rsidR="00F83B35">
        <w:t>1)</w:t>
      </w:r>
      <w:r>
        <w:rPr>
          <w:rStyle w:val="FootnoteReference"/>
        </w:rPr>
        <w:footnoteReference w:id="41"/>
      </w:r>
    </w:p>
    <w:p w:rsidR="0048311C" w:rsidRDefault="0048311C" w:rsidP="006D063A">
      <w:pPr>
        <w:pStyle w:val="FootnoteText"/>
      </w:pPr>
    </w:p>
    <w:p w:rsidR="007E78B7" w:rsidRDefault="00D37500" w:rsidP="006D063A">
      <w:pPr>
        <w:pStyle w:val="FootnoteText"/>
      </w:pPr>
      <w:r>
        <w:t>In the material that follows</w:t>
      </w:r>
      <w:r w:rsidR="0048311C">
        <w:t xml:space="preserve">, God’s people </w:t>
      </w:r>
      <w:r w:rsidR="004072B6">
        <w:t xml:space="preserve">are </w:t>
      </w:r>
      <w:r w:rsidR="0048311C">
        <w:t>repeated</w:t>
      </w:r>
      <w:r>
        <w:t>ly</w:t>
      </w:r>
      <w:r w:rsidR="0048311C">
        <w:t xml:space="preserve"> accused of committing adultery. </w:t>
      </w:r>
      <w:r w:rsidR="007E78B7">
        <w:t xml:space="preserve">The climax of such </w:t>
      </w:r>
      <w:r w:rsidR="004A5BBF">
        <w:t>accusations</w:t>
      </w:r>
      <w:r w:rsidR="007E78B7">
        <w:t xml:space="preserve"> </w:t>
      </w:r>
      <w:r>
        <w:t>comes</w:t>
      </w:r>
      <w:r w:rsidR="007E78B7">
        <w:t xml:space="preserve"> in</w:t>
      </w:r>
      <w:r w:rsidR="0048311C">
        <w:t xml:space="preserve"> </w:t>
      </w:r>
      <w:r w:rsidR="0049795B">
        <w:t>Jer</w:t>
      </w:r>
      <w:r w:rsidR="0048311C">
        <w:t xml:space="preserve"> 3</w:t>
      </w:r>
      <w:r w:rsidR="00D32A5D">
        <w:t>:</w:t>
      </w:r>
      <w:r w:rsidR="0048311C">
        <w:t xml:space="preserve">8-9 </w:t>
      </w:r>
      <w:r w:rsidR="007E78B7">
        <w:t>where God threatens to divorce his own people:</w:t>
      </w:r>
    </w:p>
    <w:p w:rsidR="007E78B7" w:rsidRDefault="007E78B7" w:rsidP="006D063A">
      <w:pPr>
        <w:pStyle w:val="FootnoteText"/>
      </w:pPr>
    </w:p>
    <w:p w:rsidR="007E78B7" w:rsidRDefault="007E78B7" w:rsidP="006D063A">
      <w:pPr>
        <w:ind w:left="720"/>
      </w:pPr>
      <w:r w:rsidRPr="007E78B7">
        <w:t xml:space="preserve">And I saw that for everything in which the settlement of Israel was caught, </w:t>
      </w:r>
    </w:p>
    <w:p w:rsidR="007E78B7" w:rsidRDefault="007E78B7" w:rsidP="006D063A">
      <w:pPr>
        <w:ind w:left="720" w:firstLine="720"/>
      </w:pPr>
      <w:r w:rsidRPr="007E78B7">
        <w:t>in which she committed adultery</w:t>
      </w:r>
      <w:r>
        <w:t xml:space="preserve"> (</w:t>
      </w:r>
      <w:r w:rsidR="00E12002">
        <w:rPr>
          <w:rFonts w:ascii="Times New Roman" w:hAnsi="Times New Roman" w:cs="Times New Roman"/>
        </w:rPr>
        <w:t>ἐμοιχᾶτο</w:t>
      </w:r>
      <w:r>
        <w:t>)</w:t>
      </w:r>
      <w:r w:rsidRPr="007E78B7">
        <w:t xml:space="preserve">, </w:t>
      </w:r>
    </w:p>
    <w:p w:rsidR="007E78B7" w:rsidRDefault="007E78B7" w:rsidP="006D063A">
      <w:pPr>
        <w:ind w:firstLine="720"/>
      </w:pPr>
      <w:r w:rsidRPr="007E78B7">
        <w:t xml:space="preserve">and I sent her away and gave her a document of </w:t>
      </w:r>
      <w:r w:rsidR="00FA1ABD">
        <w:t>divorce</w:t>
      </w:r>
      <w:r w:rsidRPr="007E78B7">
        <w:t>,</w:t>
      </w:r>
      <w:r w:rsidR="0060004E">
        <w:rPr>
          <w:rStyle w:val="FootnoteReference"/>
        </w:rPr>
        <w:footnoteReference w:id="42"/>
      </w:r>
      <w:r w:rsidRPr="007E78B7">
        <w:t xml:space="preserve"> </w:t>
      </w:r>
    </w:p>
    <w:p w:rsidR="007E78B7" w:rsidRDefault="007E78B7" w:rsidP="006D063A">
      <w:pPr>
        <w:ind w:firstLine="720"/>
      </w:pPr>
      <w:r w:rsidRPr="007E78B7">
        <w:t xml:space="preserve">and faithless Iouda did not fear, </w:t>
      </w:r>
    </w:p>
    <w:p w:rsidR="007E78B7" w:rsidRDefault="007E78B7" w:rsidP="006D063A">
      <w:pPr>
        <w:ind w:left="720"/>
      </w:pPr>
      <w:r w:rsidRPr="007E78B7">
        <w:t>but she too went and played the whore</w:t>
      </w:r>
      <w:r>
        <w:t xml:space="preserve"> (</w:t>
      </w:r>
      <w:r w:rsidR="00E12002">
        <w:rPr>
          <w:rFonts w:ascii="Times New Roman" w:hAnsi="Times New Roman" w:cs="Times New Roman"/>
        </w:rPr>
        <w:t>ἐπόρνευσεν</w:t>
      </w:r>
      <w:r>
        <w:t>)</w:t>
      </w:r>
      <w:r w:rsidRPr="007E78B7">
        <w:t xml:space="preserve">. </w:t>
      </w:r>
    </w:p>
    <w:p w:rsidR="007E78B7" w:rsidRDefault="007E78B7" w:rsidP="006D063A">
      <w:pPr>
        <w:ind w:left="720"/>
      </w:pPr>
      <w:r w:rsidRPr="007E78B7">
        <w:t>And her whoredom</w:t>
      </w:r>
      <w:r>
        <w:t xml:space="preserve"> (</w:t>
      </w:r>
      <w:r w:rsidR="00E12002">
        <w:rPr>
          <w:rFonts w:ascii="Times New Roman" w:hAnsi="Times New Roman" w:cs="Times New Roman"/>
        </w:rPr>
        <w:t xml:space="preserve">ἡ </w:t>
      </w:r>
      <w:r w:rsidR="00E12002">
        <w:rPr>
          <w:rFonts w:cs="Times New Roman"/>
        </w:rPr>
        <w:t>πορνε</w:t>
      </w:r>
      <w:r w:rsidR="00E12002">
        <w:rPr>
          <w:rFonts w:ascii="Times New Roman" w:hAnsi="Times New Roman" w:cs="Times New Roman"/>
        </w:rPr>
        <w:t>ία</w:t>
      </w:r>
      <w:r>
        <w:t>)</w:t>
      </w:r>
      <w:r w:rsidRPr="007E78B7">
        <w:t xml:space="preserve"> came to nothing, </w:t>
      </w:r>
    </w:p>
    <w:p w:rsidR="007E78B7" w:rsidRPr="007E78B7" w:rsidRDefault="007E78B7" w:rsidP="006D063A">
      <w:pPr>
        <w:ind w:firstLine="720"/>
      </w:pPr>
      <w:r w:rsidRPr="007E78B7">
        <w:t>and she committed adultery</w:t>
      </w:r>
      <w:r>
        <w:t xml:space="preserve"> (</w:t>
      </w:r>
      <w:r w:rsidR="00E12002">
        <w:rPr>
          <w:rFonts w:ascii="Times New Roman" w:hAnsi="Times New Roman" w:cs="Times New Roman"/>
        </w:rPr>
        <w:t>ἐμοίχευσεν</w:t>
      </w:r>
      <w:r>
        <w:t>)</w:t>
      </w:r>
      <w:r w:rsidRPr="007E78B7">
        <w:t xml:space="preserve"> with tree and stone.</w:t>
      </w:r>
    </w:p>
    <w:p w:rsidR="007E78B7" w:rsidRDefault="007E78B7" w:rsidP="006D063A">
      <w:pPr>
        <w:pStyle w:val="FootnoteText"/>
      </w:pPr>
    </w:p>
    <w:p w:rsidR="00FA1ABD" w:rsidRDefault="0060004E" w:rsidP="006D063A">
      <w:pPr>
        <w:pStyle w:val="FootnoteText"/>
      </w:pPr>
      <w:r>
        <w:t xml:space="preserve">The thematic and linguistic parallels between </w:t>
      </w:r>
      <w:r w:rsidR="00724BE9">
        <w:t xml:space="preserve">this passage and </w:t>
      </w:r>
      <w:r w:rsidR="00050A76">
        <w:t>Matt</w:t>
      </w:r>
      <w:r w:rsidR="00724BE9">
        <w:t xml:space="preserve"> </w:t>
      </w:r>
      <w:r w:rsidR="00050A76">
        <w:t>19:</w:t>
      </w:r>
      <w:r w:rsidR="00724BE9">
        <w:t>9 should not be overlooked</w:t>
      </w:r>
      <w:r>
        <w:t xml:space="preserve">. </w:t>
      </w:r>
      <w:r w:rsidR="004072B6">
        <w:t>I</w:t>
      </w:r>
      <w:r w:rsidR="00D37500">
        <w:t xml:space="preserve">n </w:t>
      </w:r>
      <w:r>
        <w:t xml:space="preserve">both one finds both </w:t>
      </w:r>
      <w:r w:rsidR="00E12002">
        <w:rPr>
          <w:rFonts w:ascii="Times New Roman" w:hAnsi="Times New Roman" w:cs="Times New Roman"/>
        </w:rPr>
        <w:t>πορν</w:t>
      </w:r>
      <w:r w:rsidR="003F4794">
        <w:t xml:space="preserve">- and </w:t>
      </w:r>
      <w:r w:rsidR="00E12002">
        <w:rPr>
          <w:rFonts w:ascii="Times New Roman" w:hAnsi="Times New Roman" w:cs="Times New Roman"/>
        </w:rPr>
        <w:t>μοιχ</w:t>
      </w:r>
      <w:r w:rsidR="003F4794">
        <w:t xml:space="preserve">- word-groups </w:t>
      </w:r>
      <w:r>
        <w:t>being</w:t>
      </w:r>
      <w:r w:rsidR="003F4794">
        <w:t xml:space="preserve"> used </w:t>
      </w:r>
      <w:r w:rsidR="00527DFD">
        <w:t>to describe</w:t>
      </w:r>
      <w:r w:rsidR="003F4794">
        <w:t xml:space="preserve"> </w:t>
      </w:r>
      <w:r>
        <w:t xml:space="preserve">adulterous acts. In </w:t>
      </w:r>
      <w:r w:rsidR="0049795B">
        <w:t>Jer</w:t>
      </w:r>
      <w:r>
        <w:t xml:space="preserve"> 3</w:t>
      </w:r>
      <w:r w:rsidR="00D32A5D">
        <w:t>:</w:t>
      </w:r>
      <w:r>
        <w:t>8-9, the two word-groups are u</w:t>
      </w:r>
      <w:r w:rsidR="00724BE9">
        <w:t>sed interchangeably, and this</w:t>
      </w:r>
      <w:r>
        <w:t xml:space="preserve"> </w:t>
      </w:r>
      <w:r w:rsidR="00724BE9">
        <w:t xml:space="preserve">accords well with our explanation of the appearances of these word-groups in </w:t>
      </w:r>
      <w:r w:rsidR="00050A76">
        <w:t>Matt</w:t>
      </w:r>
      <w:r w:rsidR="00724BE9">
        <w:t xml:space="preserve"> </w:t>
      </w:r>
      <w:r w:rsidR="00050A76">
        <w:t>19:</w:t>
      </w:r>
      <w:r w:rsidR="00724BE9">
        <w:t>9</w:t>
      </w:r>
      <w:r>
        <w:t xml:space="preserve">. </w:t>
      </w:r>
      <w:r w:rsidR="00F83B35">
        <w:t>Furthermore</w:t>
      </w:r>
      <w:r>
        <w:t xml:space="preserve">, in the midst of discussing their adulterous acts, </w:t>
      </w:r>
      <w:r w:rsidR="00FA1ABD">
        <w:t>the possibility of divorce is raised. When a party commits adultery, the other party has the right to divorce his partner.</w:t>
      </w:r>
    </w:p>
    <w:p w:rsidR="0043304F" w:rsidRDefault="00F83B35" w:rsidP="006D063A">
      <w:pPr>
        <w:pStyle w:val="FootnoteText"/>
      </w:pPr>
      <w:r>
        <w:tab/>
        <w:t>This</w:t>
      </w:r>
      <w:r w:rsidR="0043304F">
        <w:t xml:space="preserve"> section ends with a final call for God</w:t>
      </w:r>
      <w:r>
        <w:t xml:space="preserve">’s hard-hearted people </w:t>
      </w:r>
      <w:r w:rsidR="0043304F">
        <w:t>to repent:</w:t>
      </w:r>
    </w:p>
    <w:p w:rsidR="0043304F" w:rsidRDefault="0043304F" w:rsidP="006D063A">
      <w:pPr>
        <w:pStyle w:val="FootnoteText"/>
      </w:pPr>
    </w:p>
    <w:p w:rsidR="00F83B35" w:rsidRPr="00F83B35" w:rsidRDefault="0043304F" w:rsidP="006D063A">
      <w:r w:rsidRPr="00F83B35">
        <w:tab/>
      </w:r>
      <w:r w:rsidR="00F83B35" w:rsidRPr="00F83B35">
        <w:t>Be circumcised to your God,</w:t>
      </w:r>
    </w:p>
    <w:p w:rsidR="00F83B35" w:rsidRPr="00E12002" w:rsidRDefault="00F83B35" w:rsidP="006D063A">
      <w:pPr>
        <w:rPr>
          <w:rFonts w:ascii="Times New Roman" w:hAnsi="Times New Roman" w:cs="Times New Roman"/>
        </w:rPr>
      </w:pPr>
      <w:r w:rsidRPr="00F83B35">
        <w:tab/>
      </w:r>
      <w:r w:rsidRPr="00F83B35">
        <w:tab/>
        <w:t xml:space="preserve">and remove the foreskin of your </w:t>
      </w:r>
      <w:r>
        <w:t xml:space="preserve">hard </w:t>
      </w:r>
      <w:r w:rsidRPr="00F83B35">
        <w:t>heart</w:t>
      </w:r>
      <w:r>
        <w:t xml:space="preserve"> (lit.,</w:t>
      </w:r>
      <w:r w:rsidR="00E12002">
        <w:t xml:space="preserve"> τ</w:t>
      </w:r>
      <w:r w:rsidR="00E12002">
        <w:rPr>
          <w:rFonts w:ascii="Times New Roman" w:hAnsi="Times New Roman" w:cs="Times New Roman"/>
        </w:rPr>
        <w:t>ὴν σκληροκαρδίαν</w:t>
      </w:r>
      <w:r>
        <w:t>)</w:t>
      </w:r>
      <w:r w:rsidRPr="00F83B35">
        <w:t>,</w:t>
      </w:r>
    </w:p>
    <w:p w:rsidR="00F83B35" w:rsidRPr="00F83B35" w:rsidRDefault="00F83B35" w:rsidP="006D063A">
      <w:r w:rsidRPr="00F83B35">
        <w:tab/>
      </w:r>
      <w:r w:rsidRPr="00F83B35">
        <w:tab/>
        <w:t>O men of Iouda and inhabitants of Ierousalem,</w:t>
      </w:r>
    </w:p>
    <w:p w:rsidR="00F83B35" w:rsidRPr="00F83B35" w:rsidRDefault="00F83B35" w:rsidP="006D063A">
      <w:r w:rsidRPr="00F83B35">
        <w:tab/>
        <w:t>or else my anger goes forth like fire</w:t>
      </w:r>
    </w:p>
    <w:p w:rsidR="00F83B35" w:rsidRPr="00F83B35" w:rsidRDefault="00F83B35" w:rsidP="006D063A">
      <w:r w:rsidRPr="00F83B35">
        <w:tab/>
      </w:r>
      <w:r w:rsidRPr="00F83B35">
        <w:tab/>
        <w:t>and will blaze forth, and there will be no one to quench</w:t>
      </w:r>
    </w:p>
    <w:p w:rsidR="00F83B35" w:rsidRDefault="00F83B35" w:rsidP="006D063A">
      <w:pPr>
        <w:pStyle w:val="FootnoteText"/>
      </w:pPr>
      <w:r w:rsidRPr="00F83B35">
        <w:tab/>
      </w:r>
      <w:r w:rsidRPr="00F83B35">
        <w:tab/>
        <w:t>because of the evil of your doings</w:t>
      </w:r>
      <w:r w:rsidR="007077D7">
        <w:t>.</w:t>
      </w:r>
      <w:r>
        <w:t xml:space="preserve"> (</w:t>
      </w:r>
      <w:r w:rsidR="0049795B">
        <w:t>Jer</w:t>
      </w:r>
      <w:r>
        <w:t xml:space="preserve"> 4</w:t>
      </w:r>
      <w:r w:rsidR="00D32A5D">
        <w:t>:</w:t>
      </w:r>
      <w:r>
        <w:t>4)</w:t>
      </w:r>
    </w:p>
    <w:p w:rsidR="00F83B35" w:rsidRDefault="00F83B35" w:rsidP="006D063A">
      <w:pPr>
        <w:pStyle w:val="FootnoteText"/>
      </w:pPr>
    </w:p>
    <w:p w:rsidR="00150160" w:rsidRDefault="00F83B35" w:rsidP="006D063A">
      <w:pPr>
        <w:pStyle w:val="FootnoteText"/>
      </w:pPr>
      <w:r>
        <w:t>With the use of the same word (</w:t>
      </w:r>
      <w:r w:rsidR="00E12002">
        <w:t>σκληροκαρδία</w:t>
      </w:r>
      <w:r>
        <w:t>), Jesus likewise accuses the unrepentant people of God for being unfaithful to their partner (</w:t>
      </w:r>
      <w:r w:rsidR="00050A76">
        <w:t>Matt</w:t>
      </w:r>
      <w:r>
        <w:t xml:space="preserve"> </w:t>
      </w:r>
      <w:r w:rsidR="00050A76">
        <w:t>19:</w:t>
      </w:r>
      <w:r>
        <w:t>8).</w:t>
      </w:r>
      <w:r>
        <w:rPr>
          <w:rStyle w:val="FootnoteReference"/>
        </w:rPr>
        <w:footnoteReference w:id="43"/>
      </w:r>
      <w:r w:rsidR="004072B6">
        <w:t xml:space="preserve"> I</w:t>
      </w:r>
      <w:r>
        <w:t xml:space="preserve">n light of </w:t>
      </w:r>
      <w:r w:rsidR="0049795B">
        <w:t>Jer</w:t>
      </w:r>
      <w:r>
        <w:t xml:space="preserve"> 3</w:t>
      </w:r>
      <w:r w:rsidR="00D32A5D">
        <w:t>:1</w:t>
      </w:r>
      <w:r>
        <w:t>-4</w:t>
      </w:r>
      <w:r w:rsidR="00D32A5D">
        <w:t>:</w:t>
      </w:r>
      <w:r>
        <w:t>4, Jesu</w:t>
      </w:r>
      <w:r w:rsidR="00975272">
        <w:t>s’</w:t>
      </w:r>
      <w:r>
        <w:t xml:space="preserve"> discussion of divorce with the Pharisees in </w:t>
      </w:r>
      <w:r w:rsidR="00050A76">
        <w:t>Matt</w:t>
      </w:r>
      <w:r>
        <w:t xml:space="preserve"> </w:t>
      </w:r>
      <w:r w:rsidR="00050A76">
        <w:t>19:</w:t>
      </w:r>
      <w:r>
        <w:t xml:space="preserve">1-12 takes on added significance. The claim that they are hard-hearted becomes an indictment of their </w:t>
      </w:r>
      <w:r w:rsidR="004A5BBF">
        <w:t>unfaithfulness</w:t>
      </w:r>
      <w:r>
        <w:t xml:space="preserve"> to their God. The exception clause in </w:t>
      </w:r>
      <w:r w:rsidR="00050A76">
        <w:t>Matt</w:t>
      </w:r>
      <w:r>
        <w:t xml:space="preserve"> </w:t>
      </w:r>
      <w:r w:rsidR="00050A76">
        <w:t>19:</w:t>
      </w:r>
      <w:r>
        <w:t xml:space="preserve">9 </w:t>
      </w:r>
      <w:r w:rsidR="00730587">
        <w:t>(</w:t>
      </w:r>
      <w:r w:rsidR="00050A76">
        <w:t>“</w:t>
      </w:r>
      <w:r w:rsidR="00730587">
        <w:t>except for adultery,</w:t>
      </w:r>
      <w:r w:rsidR="00050A76">
        <w:t>”</w:t>
      </w:r>
      <w:r w:rsidR="00730587">
        <w:t xml:space="preserve"> </w:t>
      </w:r>
      <w:r w:rsidR="00E12002" w:rsidRPr="00E12002">
        <w:rPr>
          <w:rFonts w:ascii="Times" w:hAnsi="Times"/>
          <w:color w:val="000000"/>
        </w:rPr>
        <w:t>μὴ ἐπὶ πορνείᾳ</w:t>
      </w:r>
      <w:r w:rsidR="00730587">
        <w:t xml:space="preserve">) </w:t>
      </w:r>
      <w:r>
        <w:t xml:space="preserve">would therefore </w:t>
      </w:r>
      <w:r w:rsidR="00C83E59">
        <w:t>provide the grounds upon which</w:t>
      </w:r>
      <w:r>
        <w:t xml:space="preserve"> God </w:t>
      </w:r>
      <w:r w:rsidR="00C83E59">
        <w:t>is able to</w:t>
      </w:r>
      <w:r>
        <w:t xml:space="preserve"> divorce his own people as it is explicitly stated in </w:t>
      </w:r>
      <w:r w:rsidR="0049795B">
        <w:t>Jer</w:t>
      </w:r>
      <w:r>
        <w:t xml:space="preserve"> 3</w:t>
      </w:r>
      <w:r w:rsidR="00D32A5D">
        <w:t>:</w:t>
      </w:r>
      <w:r>
        <w:t>8-9. A discussion of the relationship between a husband and a wife is then turned into a description of the relationship between God and his unrepentant covenantal partner.</w:t>
      </w:r>
      <w:r w:rsidR="003B71D0">
        <w:t xml:space="preserve"> </w:t>
      </w:r>
      <w:r w:rsidR="00150160">
        <w:t xml:space="preserve">In support of this reading, we must turn to </w:t>
      </w:r>
      <w:r w:rsidR="0072372B">
        <w:t>another</w:t>
      </w:r>
      <w:r w:rsidR="00150160">
        <w:t xml:space="preserve"> label that is applied to the God’s unrepentant people in Matthew</w:t>
      </w:r>
      <w:r w:rsidR="005A5A73">
        <w:t xml:space="preserve">: </w:t>
      </w:r>
      <w:r w:rsidR="00050A76">
        <w:t>“</w:t>
      </w:r>
      <w:r w:rsidR="008677CB">
        <w:t>evi</w:t>
      </w:r>
      <w:r w:rsidR="005A5A73">
        <w:t>l and adulterous generation</w:t>
      </w:r>
      <w:r w:rsidR="007077D7">
        <w:t>.”</w:t>
      </w:r>
    </w:p>
    <w:p w:rsidR="00150160" w:rsidRDefault="00150160" w:rsidP="006D063A">
      <w:pPr>
        <w:pStyle w:val="FootnoteText"/>
      </w:pPr>
    </w:p>
    <w:p w:rsidR="00D53F84" w:rsidRPr="00D53F84" w:rsidRDefault="00D53F84" w:rsidP="006D063A">
      <w:pPr>
        <w:pStyle w:val="FootnoteText"/>
        <w:rPr>
          <w:i/>
        </w:rPr>
      </w:pPr>
      <w:r w:rsidRPr="00D53F84">
        <w:rPr>
          <w:i/>
        </w:rPr>
        <w:t xml:space="preserve">b. </w:t>
      </w:r>
      <w:r w:rsidRPr="00D53F84">
        <w:rPr>
          <w:i/>
        </w:rPr>
        <w:tab/>
      </w:r>
      <w:r w:rsidR="00261284">
        <w:rPr>
          <w:i/>
        </w:rPr>
        <w:t>Hosea and the Adulterous People of God</w:t>
      </w:r>
    </w:p>
    <w:p w:rsidR="0005185C" w:rsidRPr="00E12002" w:rsidRDefault="00D53F84" w:rsidP="006D063A">
      <w:pPr>
        <w:pStyle w:val="FootnoteText"/>
        <w:rPr>
          <w:rFonts w:ascii="Times New Roman" w:hAnsi="Times New Roman" w:cs="Times New Roman"/>
        </w:rPr>
      </w:pPr>
      <w:r>
        <w:tab/>
      </w:r>
      <w:r w:rsidR="00730587">
        <w:t xml:space="preserve">Further support for the </w:t>
      </w:r>
      <w:r w:rsidR="00DC11D1">
        <w:t>understanding of God’s unrepentant people in marital terms can be found in the unique Matthean</w:t>
      </w:r>
      <w:r w:rsidR="0005185C">
        <w:t xml:space="preserve"> label</w:t>
      </w:r>
      <w:r w:rsidR="006E4E1A">
        <w:t>:</w:t>
      </w:r>
      <w:r w:rsidR="00E12002">
        <w:t xml:space="preserve"> γενε</w:t>
      </w:r>
      <w:r w:rsidR="00E12002">
        <w:rPr>
          <w:rFonts w:ascii="Times New Roman" w:hAnsi="Times New Roman" w:cs="Times New Roman"/>
        </w:rPr>
        <w:t>ὰ πονηρὰ καὶ μοιχαλίς</w:t>
      </w:r>
      <w:r w:rsidR="006E4E1A">
        <w:t xml:space="preserve"> (</w:t>
      </w:r>
      <w:r w:rsidR="00050A76">
        <w:t>“</w:t>
      </w:r>
      <w:r w:rsidR="006E4E1A">
        <w:t>evil and adulterous generation,</w:t>
      </w:r>
      <w:r w:rsidR="00050A76">
        <w:t>”</w:t>
      </w:r>
      <w:r w:rsidR="006E4E1A">
        <w:t xml:space="preserve"> </w:t>
      </w:r>
      <w:r w:rsidR="00050A76">
        <w:t>Matt</w:t>
      </w:r>
      <w:r w:rsidR="006E4E1A">
        <w:t xml:space="preserve"> 12</w:t>
      </w:r>
      <w:r w:rsidR="00D32A5D">
        <w:t>:</w:t>
      </w:r>
      <w:r w:rsidR="006E4E1A">
        <w:t>39; 16</w:t>
      </w:r>
      <w:r w:rsidR="00D32A5D">
        <w:t>:</w:t>
      </w:r>
      <w:r w:rsidR="006E4E1A">
        <w:t>4). As in the label of</w:t>
      </w:r>
      <w:r w:rsidR="00E12002">
        <w:t xml:space="preserve"> σκληροκαρδία</w:t>
      </w:r>
      <w:r w:rsidR="006E4E1A">
        <w:t xml:space="preserve"> in </w:t>
      </w:r>
      <w:r w:rsidR="00050A76">
        <w:t>19:</w:t>
      </w:r>
      <w:r w:rsidR="006E4E1A">
        <w:t xml:space="preserve">9, this label is also applied to the Pharisees and their companions. </w:t>
      </w:r>
      <w:r w:rsidR="0005185C">
        <w:t xml:space="preserve">In the New Testament, </w:t>
      </w:r>
      <w:r w:rsidR="00E12002">
        <w:t>πονηρός</w:t>
      </w:r>
      <w:r w:rsidR="0005185C">
        <w:t xml:space="preserve"> </w:t>
      </w:r>
      <w:r w:rsidR="00BE7BB2">
        <w:t xml:space="preserve">used </w:t>
      </w:r>
      <w:r w:rsidR="0005185C">
        <w:t xml:space="preserve">together with </w:t>
      </w:r>
      <w:r w:rsidR="00E12002">
        <w:t>μοιχαλίς</w:t>
      </w:r>
      <w:r w:rsidR="00653545">
        <w:rPr>
          <w:rStyle w:val="FootnoteReference"/>
        </w:rPr>
        <w:footnoteReference w:id="44"/>
      </w:r>
      <w:r w:rsidR="00653545">
        <w:t xml:space="preserve"> </w:t>
      </w:r>
      <w:r w:rsidR="0005185C">
        <w:t>can only be found in Matthew</w:t>
      </w:r>
      <w:r w:rsidR="000B708F">
        <w:t>.</w:t>
      </w:r>
      <w:r w:rsidR="00CE17EE">
        <w:rPr>
          <w:rStyle w:val="FootnoteReference"/>
        </w:rPr>
        <w:footnoteReference w:id="45"/>
      </w:r>
      <w:r w:rsidR="000B708F">
        <w:t xml:space="preserve"> In the LXX, this phrase</w:t>
      </w:r>
      <w:r w:rsidR="0005185C">
        <w:t xml:space="preserve"> appears only once in </w:t>
      </w:r>
      <w:r w:rsidR="0049795B">
        <w:t>Hos</w:t>
      </w:r>
      <w:r w:rsidR="0005185C">
        <w:t xml:space="preserve"> 3</w:t>
      </w:r>
      <w:r w:rsidR="00D32A5D">
        <w:t>:</w:t>
      </w:r>
      <w:r w:rsidR="0005185C">
        <w:t xml:space="preserve">1, in a context identical to that of </w:t>
      </w:r>
      <w:r w:rsidR="0049795B">
        <w:t>Jer</w:t>
      </w:r>
      <w:r w:rsidR="004072B6">
        <w:t xml:space="preserve"> 3</w:t>
      </w:r>
      <w:r w:rsidR="00D32A5D">
        <w:t>:</w:t>
      </w:r>
      <w:r w:rsidR="004072B6">
        <w:t>1-4</w:t>
      </w:r>
      <w:r w:rsidR="00D32A5D">
        <w:t>:</w:t>
      </w:r>
      <w:r w:rsidR="004072B6">
        <w:t>4 where God’s people are</w:t>
      </w:r>
      <w:r w:rsidR="0005185C">
        <w:t xml:space="preserve"> again described as being unfaithful to their covenantal partner:</w:t>
      </w:r>
    </w:p>
    <w:p w:rsidR="0005185C" w:rsidRDefault="0005185C" w:rsidP="006D063A">
      <w:pPr>
        <w:pStyle w:val="FootnoteText"/>
      </w:pPr>
    </w:p>
    <w:p w:rsidR="0005185C" w:rsidRDefault="0005185C" w:rsidP="006D063A">
      <w:pPr>
        <w:pStyle w:val="FootnoteText"/>
        <w:ind w:left="720"/>
      </w:pPr>
      <w:r w:rsidRPr="0005185C">
        <w:t xml:space="preserve">And the Lord said to me, </w:t>
      </w:r>
    </w:p>
    <w:p w:rsidR="0005185C" w:rsidRDefault="00050A76" w:rsidP="006D063A">
      <w:pPr>
        <w:pStyle w:val="FootnoteText"/>
        <w:ind w:left="720"/>
      </w:pPr>
      <w:r>
        <w:t>“</w:t>
      </w:r>
      <w:r w:rsidR="0005185C" w:rsidRPr="0005185C">
        <w:t xml:space="preserve">Go again, and love a woman </w:t>
      </w:r>
    </w:p>
    <w:p w:rsidR="0005185C" w:rsidRDefault="0005185C" w:rsidP="006D063A">
      <w:pPr>
        <w:pStyle w:val="FootnoteText"/>
        <w:ind w:left="720" w:firstLine="720"/>
      </w:pPr>
      <w:r w:rsidRPr="0005185C">
        <w:t>who loves evil things and is an adulteress</w:t>
      </w:r>
      <w:r w:rsidR="000B708F">
        <w:t xml:space="preserve"> (</w:t>
      </w:r>
      <w:r w:rsidR="00E12002">
        <w:t>πονηρ</w:t>
      </w:r>
      <w:r w:rsidR="00E12002">
        <w:rPr>
          <w:rFonts w:ascii="Times New Roman" w:hAnsi="Times New Roman" w:cs="Times New Roman"/>
        </w:rPr>
        <w:t>ὰ καὶ μοιχαλίν</w:t>
      </w:r>
      <w:r w:rsidR="000B708F">
        <w:t>)</w:t>
      </w:r>
      <w:r w:rsidRPr="0005185C">
        <w:t xml:space="preserve">, </w:t>
      </w:r>
    </w:p>
    <w:p w:rsidR="0005185C" w:rsidRDefault="0005185C" w:rsidP="006D063A">
      <w:pPr>
        <w:pStyle w:val="FootnoteText"/>
        <w:ind w:left="720"/>
      </w:pPr>
      <w:r w:rsidRPr="0005185C">
        <w:t xml:space="preserve">just as God loves the sons of Israel, </w:t>
      </w:r>
    </w:p>
    <w:p w:rsidR="0005185C" w:rsidRDefault="0005185C" w:rsidP="006D063A">
      <w:pPr>
        <w:pStyle w:val="FootnoteText"/>
        <w:ind w:left="720"/>
      </w:pPr>
      <w:r w:rsidRPr="0005185C">
        <w:t xml:space="preserve">but they turn their attention to foreign gods, </w:t>
      </w:r>
    </w:p>
    <w:p w:rsidR="0005185C" w:rsidRDefault="0005185C" w:rsidP="006D063A">
      <w:pPr>
        <w:pStyle w:val="FootnoteText"/>
        <w:ind w:left="720"/>
      </w:pPr>
      <w:r w:rsidRPr="0005185C">
        <w:t>and they like cakes with raisins.</w:t>
      </w:r>
      <w:r w:rsidR="00050A76">
        <w:t>”</w:t>
      </w:r>
      <w:r>
        <w:t xml:space="preserve"> (</w:t>
      </w:r>
      <w:r w:rsidR="0049795B">
        <w:t>Hos</w:t>
      </w:r>
      <w:r>
        <w:t xml:space="preserve"> 3</w:t>
      </w:r>
      <w:r w:rsidR="00D32A5D">
        <w:t>:</w:t>
      </w:r>
      <w:r>
        <w:t>1)</w:t>
      </w:r>
    </w:p>
    <w:p w:rsidR="0005185C" w:rsidRDefault="0005185C" w:rsidP="006D063A">
      <w:pPr>
        <w:pStyle w:val="FootnoteText"/>
      </w:pPr>
    </w:p>
    <w:p w:rsidR="00E47F8B" w:rsidRDefault="002F11BA" w:rsidP="006D063A">
      <w:pPr>
        <w:pStyle w:val="FootnoteText"/>
      </w:pPr>
      <w:r>
        <w:t xml:space="preserve">Unlike Mark’s </w:t>
      </w:r>
      <w:r w:rsidR="00E12002" w:rsidRPr="00E12002">
        <w:rPr>
          <w:rFonts w:ascii="Times" w:hAnsi="Times"/>
        </w:rPr>
        <w:t>τ</w:t>
      </w:r>
      <w:r w:rsidR="00E12002" w:rsidRPr="00E12002">
        <w:rPr>
          <w:rFonts w:ascii="Times" w:hAnsi="Times" w:cs="Times New Roman"/>
        </w:rPr>
        <w:t>ῇ</w:t>
      </w:r>
      <w:r w:rsidR="00E12002" w:rsidRPr="00E12002">
        <w:rPr>
          <w:rFonts w:ascii="Times" w:hAnsi="Times"/>
        </w:rPr>
        <w:t xml:space="preserve"> γενε</w:t>
      </w:r>
      <w:r w:rsidR="00E12002" w:rsidRPr="00E12002">
        <w:rPr>
          <w:rFonts w:ascii="Times" w:hAnsi="Times" w:cs="Times New Roman"/>
        </w:rPr>
        <w:t>ᾷ</w:t>
      </w:r>
      <w:r w:rsidR="00E12002" w:rsidRPr="00E12002">
        <w:rPr>
          <w:rFonts w:ascii="Times" w:hAnsi="Times"/>
        </w:rPr>
        <w:t xml:space="preserve"> τα</w:t>
      </w:r>
      <w:r w:rsidR="00E12002" w:rsidRPr="00E12002">
        <w:rPr>
          <w:rFonts w:ascii="Times" w:hAnsi="Times" w:cs="Times New Roman"/>
        </w:rPr>
        <w:t>ύ</w:t>
      </w:r>
      <w:r w:rsidR="00E12002" w:rsidRPr="00E12002">
        <w:rPr>
          <w:rFonts w:ascii="Times" w:hAnsi="Times"/>
        </w:rPr>
        <w:t>τ</w:t>
      </w:r>
      <w:r w:rsidR="00E12002" w:rsidRPr="00E12002">
        <w:rPr>
          <w:rFonts w:ascii="Times" w:hAnsi="Times" w:cs="Times New Roman"/>
        </w:rPr>
        <w:t>ῃ</w:t>
      </w:r>
      <w:r w:rsidR="00E12002" w:rsidRPr="00E12002">
        <w:rPr>
          <w:rFonts w:ascii="Times" w:hAnsi="Times"/>
        </w:rPr>
        <w:t xml:space="preserve"> τ</w:t>
      </w:r>
      <w:r w:rsidR="00E12002" w:rsidRPr="00E12002">
        <w:rPr>
          <w:rFonts w:ascii="Times" w:hAnsi="Times" w:cs="Times New Roman"/>
        </w:rPr>
        <w:t>ῇ</w:t>
      </w:r>
      <w:r w:rsidR="00E12002" w:rsidRPr="00E12002">
        <w:rPr>
          <w:rFonts w:ascii="Times" w:hAnsi="Times"/>
        </w:rPr>
        <w:t xml:space="preserve"> μοιχαλ</w:t>
      </w:r>
      <w:r w:rsidR="00E12002" w:rsidRPr="00E12002">
        <w:rPr>
          <w:rFonts w:ascii="Times" w:hAnsi="Times" w:cs="Times New Roman"/>
        </w:rPr>
        <w:t>ί</w:t>
      </w:r>
      <w:r w:rsidR="00E12002" w:rsidRPr="00E12002">
        <w:rPr>
          <w:rFonts w:ascii="Times" w:hAnsi="Times"/>
        </w:rPr>
        <w:t>δι κα</w:t>
      </w:r>
      <w:r w:rsidR="00E12002" w:rsidRPr="00E12002">
        <w:rPr>
          <w:rFonts w:ascii="Times" w:hAnsi="Times" w:cs="Times New Roman"/>
        </w:rPr>
        <w:t>ὶ</w:t>
      </w:r>
      <w:r w:rsidR="00E12002" w:rsidRPr="00E12002">
        <w:rPr>
          <w:rFonts w:ascii="Times" w:hAnsi="Times"/>
        </w:rPr>
        <w:t xml:space="preserve"> </w:t>
      </w:r>
      <w:r w:rsidR="00E12002" w:rsidRPr="00E12002">
        <w:rPr>
          <w:rFonts w:ascii="Times" w:hAnsi="Times" w:cs="Times New Roman"/>
        </w:rPr>
        <w:t>ἁ</w:t>
      </w:r>
      <w:r w:rsidR="00E12002" w:rsidRPr="00E12002">
        <w:rPr>
          <w:rFonts w:ascii="Times" w:hAnsi="Times"/>
        </w:rPr>
        <w:t>μαρτωλ</w:t>
      </w:r>
      <w:r w:rsidR="00E12002" w:rsidRPr="00E12002">
        <w:rPr>
          <w:rFonts w:ascii="Times" w:hAnsi="Times" w:cs="Times New Roman"/>
        </w:rPr>
        <w:t>ῷ</w:t>
      </w:r>
      <w:r w:rsidR="00E12002" w:rsidRPr="00E12002">
        <w:t xml:space="preserve"> </w:t>
      </w:r>
      <w:r>
        <w:t>(</w:t>
      </w:r>
      <w:r w:rsidR="00050A76">
        <w:t>“</w:t>
      </w:r>
      <w:r>
        <w:t>this adulteress and sinful generation,</w:t>
      </w:r>
      <w:r w:rsidR="00050A76">
        <w:t>”</w:t>
      </w:r>
      <w:r>
        <w:t xml:space="preserve"> </w:t>
      </w:r>
      <w:r w:rsidR="00CA35C9">
        <w:t>Mark</w:t>
      </w:r>
      <w:r>
        <w:t xml:space="preserve"> 8</w:t>
      </w:r>
      <w:r w:rsidR="00D32A5D">
        <w:t>:</w:t>
      </w:r>
      <w:r>
        <w:t xml:space="preserve">38), the Matthean phrase matches both the wording and the word order of </w:t>
      </w:r>
      <w:r w:rsidR="0049795B">
        <w:t>Hos</w:t>
      </w:r>
      <w:r>
        <w:t xml:space="preserve"> 3</w:t>
      </w:r>
      <w:r w:rsidR="00D32A5D">
        <w:t>:</w:t>
      </w:r>
      <w:r>
        <w:t>1. Therefore, it is unlikely that the Matthean version is si</w:t>
      </w:r>
      <w:r w:rsidR="00DA7B1D">
        <w:t>mply a variation of the Markan</w:t>
      </w:r>
      <w:r>
        <w:t>.</w:t>
      </w:r>
      <w:r w:rsidR="00DA7B1D">
        <w:rPr>
          <w:rStyle w:val="FootnoteReference"/>
        </w:rPr>
        <w:footnoteReference w:id="46"/>
      </w:r>
      <w:r>
        <w:t xml:space="preserve"> </w:t>
      </w:r>
      <w:r w:rsidR="004A5BBF">
        <w:t>Moreover</w:t>
      </w:r>
      <w:r>
        <w:t>, uniquely Matthean quotation</w:t>
      </w:r>
      <w:r w:rsidR="00E47F8B">
        <w:t>s</w:t>
      </w:r>
      <w:r>
        <w:t xml:space="preserve"> from Hosea (</w:t>
      </w:r>
      <w:r w:rsidR="00E47F8B">
        <w:t xml:space="preserve">cf. </w:t>
      </w:r>
      <w:r w:rsidR="00050A76">
        <w:t>Matt</w:t>
      </w:r>
      <w:r w:rsidR="00E47F8B">
        <w:t xml:space="preserve"> 2</w:t>
      </w:r>
      <w:r w:rsidR="00D32A5D">
        <w:t>:</w:t>
      </w:r>
      <w:r w:rsidR="00E47F8B">
        <w:t>15; 9</w:t>
      </w:r>
      <w:r w:rsidR="00D32A5D">
        <w:t>:</w:t>
      </w:r>
      <w:r w:rsidR="00E47F8B">
        <w:t>13; 12</w:t>
      </w:r>
      <w:r w:rsidR="00D32A5D">
        <w:t>:</w:t>
      </w:r>
      <w:r w:rsidR="00E47F8B">
        <w:t>7) also point</w:t>
      </w:r>
      <w:r>
        <w:t xml:space="preserve"> to Matthew’s knowledge</w:t>
      </w:r>
      <w:r w:rsidR="00E47F8B">
        <w:t xml:space="preserve"> of</w:t>
      </w:r>
      <w:r>
        <w:t xml:space="preserve"> and </w:t>
      </w:r>
      <w:r w:rsidR="00E47F8B">
        <w:t>interest in</w:t>
      </w:r>
      <w:r>
        <w:t xml:space="preserve"> this prophet.</w:t>
      </w:r>
      <w:r w:rsidR="00E47F8B">
        <w:t xml:space="preserve"> The fact that this phr</w:t>
      </w:r>
      <w:r w:rsidR="004072B6">
        <w:t>ase is used twice in Matthew’s G</w:t>
      </w:r>
      <w:r w:rsidR="00E47F8B">
        <w:t>ospel</w:t>
      </w:r>
      <w:r w:rsidR="00621570">
        <w:t xml:space="preserve"> (12</w:t>
      </w:r>
      <w:r w:rsidR="00D32A5D">
        <w:t>:</w:t>
      </w:r>
      <w:r w:rsidR="00621570">
        <w:t>39; 16</w:t>
      </w:r>
      <w:r w:rsidR="00D32A5D">
        <w:t>:</w:t>
      </w:r>
      <w:r w:rsidR="00621570">
        <w:t>4)</w:t>
      </w:r>
      <w:r w:rsidR="00E47F8B">
        <w:t xml:space="preserve"> </w:t>
      </w:r>
      <w:r w:rsidR="00D36ACF">
        <w:t>also points to its significance in the depiction of the unfaithful people of God.</w:t>
      </w:r>
    </w:p>
    <w:p w:rsidR="00E759E1" w:rsidRDefault="00E47F8B" w:rsidP="006D063A">
      <w:pPr>
        <w:pStyle w:val="FootnoteText"/>
      </w:pPr>
      <w:r>
        <w:tab/>
        <w:t xml:space="preserve"> </w:t>
      </w:r>
      <w:r w:rsidR="00773C42">
        <w:t xml:space="preserve">Throughout Hosea, </w:t>
      </w:r>
      <w:r w:rsidR="00E12002">
        <w:t>πορνεία</w:t>
      </w:r>
      <w:r w:rsidR="00773C42">
        <w:t xml:space="preserve"> is used to described God’s </w:t>
      </w:r>
      <w:r w:rsidR="00F96A84">
        <w:t xml:space="preserve">unfaithful </w:t>
      </w:r>
      <w:r w:rsidR="00773C42">
        <w:t>people (</w:t>
      </w:r>
      <w:r w:rsidR="0049795B">
        <w:t>Hos</w:t>
      </w:r>
      <w:r w:rsidR="00F96A84">
        <w:t xml:space="preserve"> 1</w:t>
      </w:r>
      <w:r w:rsidR="00D32A5D">
        <w:t>:</w:t>
      </w:r>
      <w:r w:rsidR="00F96A84">
        <w:t>2; 2</w:t>
      </w:r>
      <w:r w:rsidR="00D32A5D">
        <w:t>:</w:t>
      </w:r>
      <w:r w:rsidR="00F96A84">
        <w:t>4[2], 6[4]; 4</w:t>
      </w:r>
      <w:r w:rsidR="00D32A5D">
        <w:t>:</w:t>
      </w:r>
      <w:r w:rsidR="00F96A84">
        <w:t>11, 12; 6</w:t>
      </w:r>
      <w:r w:rsidR="00D32A5D">
        <w:t>:</w:t>
      </w:r>
      <w:r w:rsidR="00F96A84">
        <w:t>10</w:t>
      </w:r>
      <w:r w:rsidR="00773C42">
        <w:t xml:space="preserve">), </w:t>
      </w:r>
      <w:r w:rsidR="004072B6">
        <w:t>a people who are</w:t>
      </w:r>
      <w:r w:rsidR="00773C42">
        <w:t xml:space="preserve"> described as possessed by </w:t>
      </w:r>
      <w:r w:rsidR="00E12002">
        <w:t>πνε</w:t>
      </w:r>
      <w:r w:rsidR="00E12002">
        <w:rPr>
          <w:rFonts w:ascii="Times New Roman" w:hAnsi="Times New Roman" w:cs="Times New Roman"/>
        </w:rPr>
        <w:t xml:space="preserve">ῦμα πορνείας </w:t>
      </w:r>
      <w:r w:rsidR="00773C42">
        <w:t xml:space="preserve">(lit. </w:t>
      </w:r>
      <w:r w:rsidR="00050A76">
        <w:t>“</w:t>
      </w:r>
      <w:r w:rsidR="00D96B8D">
        <w:t>a spirit of adultery,</w:t>
      </w:r>
      <w:r w:rsidR="00050A76">
        <w:t>”</w:t>
      </w:r>
      <w:r w:rsidR="00D96B8D">
        <w:t xml:space="preserve"> </w:t>
      </w:r>
      <w:r w:rsidR="0049795B">
        <w:t>Hos</w:t>
      </w:r>
      <w:r w:rsidR="00D96B8D">
        <w:t xml:space="preserve"> 5</w:t>
      </w:r>
      <w:r w:rsidR="00D32A5D">
        <w:t>:</w:t>
      </w:r>
      <w:r w:rsidR="00D96B8D">
        <w:t>4).</w:t>
      </w:r>
      <w:r w:rsidR="009260E5">
        <w:t xml:space="preserve"> </w:t>
      </w:r>
      <w:r w:rsidR="001134D6">
        <w:t>As</w:t>
      </w:r>
      <w:r w:rsidR="009260E5">
        <w:t xml:space="preserve"> in the case of </w:t>
      </w:r>
      <w:r w:rsidR="0049795B">
        <w:t>Jer</w:t>
      </w:r>
      <w:r w:rsidR="009260E5">
        <w:t xml:space="preserve"> 3</w:t>
      </w:r>
      <w:r w:rsidR="00D32A5D">
        <w:t>:</w:t>
      </w:r>
      <w:r w:rsidR="009260E5">
        <w:t>1-4</w:t>
      </w:r>
      <w:r w:rsidR="00D32A5D">
        <w:t>:</w:t>
      </w:r>
      <w:r w:rsidR="009260E5">
        <w:t>4, the discussion of di</w:t>
      </w:r>
      <w:r w:rsidR="00D32A5D">
        <w:t>vorce in Hosea is built on Deut</w:t>
      </w:r>
      <w:r w:rsidR="009260E5">
        <w:t xml:space="preserve"> 24</w:t>
      </w:r>
      <w:r w:rsidR="00D32A5D">
        <w:t>:</w:t>
      </w:r>
      <w:r w:rsidR="009260E5">
        <w:t>1-4.</w:t>
      </w:r>
      <w:r w:rsidR="009260E5">
        <w:rPr>
          <w:rStyle w:val="FootnoteReference"/>
        </w:rPr>
        <w:footnoteReference w:id="47"/>
      </w:r>
      <w:r w:rsidR="001134D6">
        <w:t xml:space="preserve"> Equally important is the likelihood that Jeremiah is dependent on Hosea in his application </w:t>
      </w:r>
      <w:r w:rsidR="00724BE9">
        <w:t xml:space="preserve">of the adultery/divorce imagery </w:t>
      </w:r>
      <w:r w:rsidR="00CC63A0">
        <w:t xml:space="preserve">to </w:t>
      </w:r>
      <w:r w:rsidR="00251AAE">
        <w:t>God’s unfaithful people</w:t>
      </w:r>
      <w:r w:rsidR="001134D6">
        <w:t>.</w:t>
      </w:r>
      <w:r w:rsidR="00F90C96">
        <w:rPr>
          <w:rStyle w:val="FootnoteReference"/>
        </w:rPr>
        <w:footnoteReference w:id="48"/>
      </w:r>
      <w:r w:rsidR="00F90C96">
        <w:t xml:space="preserve"> In light of this interrelatedness among the prophets </w:t>
      </w:r>
      <w:r w:rsidR="00523C04">
        <w:t>in their use of the Mosaic stipu</w:t>
      </w:r>
      <w:r w:rsidR="00D32A5D">
        <w:t>lations in Deut</w:t>
      </w:r>
      <w:r w:rsidR="00F90C96">
        <w:t xml:space="preserve"> 4</w:t>
      </w:r>
      <w:r w:rsidR="00D32A5D">
        <w:t>:</w:t>
      </w:r>
      <w:r w:rsidR="00F90C96">
        <w:t xml:space="preserve">1-4, </w:t>
      </w:r>
      <w:r w:rsidR="00E759E1">
        <w:t>it should no longer be surprising that Matthew would develop similar themes in his use of the scriptural passages</w:t>
      </w:r>
      <w:r w:rsidR="004072B6">
        <w:t xml:space="preserve"> especially in light of his interests in Hosea and Jeremiah</w:t>
      </w:r>
      <w:r w:rsidR="00E759E1">
        <w:t>.</w:t>
      </w:r>
      <w:r w:rsidR="00523C04">
        <w:rPr>
          <w:rStyle w:val="FootnoteReference"/>
        </w:rPr>
        <w:footnoteReference w:id="49"/>
      </w:r>
      <w:r w:rsidR="00E759E1">
        <w:t xml:space="preserve"> </w:t>
      </w:r>
    </w:p>
    <w:p w:rsidR="00E759E1" w:rsidRDefault="00E759E1" w:rsidP="006D063A">
      <w:pPr>
        <w:pStyle w:val="FootnoteText"/>
      </w:pPr>
    </w:p>
    <w:p w:rsidR="00E759E1" w:rsidRPr="00E759E1" w:rsidRDefault="00523C04" w:rsidP="006D063A">
      <w:pPr>
        <w:pStyle w:val="FootnoteText"/>
        <w:rPr>
          <w:i/>
        </w:rPr>
      </w:pPr>
      <w:r>
        <w:rPr>
          <w:i/>
        </w:rPr>
        <w:t xml:space="preserve">c. </w:t>
      </w:r>
      <w:r>
        <w:rPr>
          <w:i/>
        </w:rPr>
        <w:tab/>
        <w:t>Adultery as</w:t>
      </w:r>
      <w:r w:rsidR="00E759E1" w:rsidRPr="00E759E1">
        <w:rPr>
          <w:i/>
        </w:rPr>
        <w:t xml:space="preserve"> Covenantal Infidelity</w:t>
      </w:r>
    </w:p>
    <w:p w:rsidR="00E759E1" w:rsidRDefault="00E759E1" w:rsidP="006D063A">
      <w:pPr>
        <w:pStyle w:val="FootnoteText"/>
      </w:pPr>
      <w:r>
        <w:tab/>
      </w:r>
      <w:r w:rsidR="003B45FA">
        <w:t>In</w:t>
      </w:r>
      <w:r>
        <w:t xml:space="preserve"> the above discussion, the linguistic and thematic parallels between Matthew and certain prophetic traditions </w:t>
      </w:r>
      <w:r w:rsidR="00724BE9">
        <w:t>have been</w:t>
      </w:r>
      <w:r>
        <w:t xml:space="preserve"> established. In light of the prevalent use of the adultery imagery to express covenantal infidelity in these prophetic traditions that Matthew uses, it is at least possible that the divorce/</w:t>
      </w:r>
      <w:r w:rsidR="004A5BBF">
        <w:t>adultery</w:t>
      </w:r>
      <w:r>
        <w:t xml:space="preserve"> discussion in </w:t>
      </w:r>
      <w:r w:rsidR="00050A76">
        <w:t>Matt</w:t>
      </w:r>
      <w:r>
        <w:t xml:space="preserve"> </w:t>
      </w:r>
      <w:r w:rsidR="00050A76">
        <w:t>19:</w:t>
      </w:r>
      <w:r>
        <w:t xml:space="preserve">1-12 is also meant to serve as an indictment of God’s unfaithful people. As a husband is allowed to divorce his wife because of adultery, God can also divorce his </w:t>
      </w:r>
      <w:r w:rsidR="00050A76">
        <w:t>“</w:t>
      </w:r>
      <w:r>
        <w:t>evil and adulterous</w:t>
      </w:r>
      <w:r w:rsidR="00050A76">
        <w:t>”</w:t>
      </w:r>
      <w:r>
        <w:t xml:space="preserve"> covenantal partner if the</w:t>
      </w:r>
      <w:r w:rsidR="003E189F">
        <w:t xml:space="preserve">y continue to </w:t>
      </w:r>
      <w:r w:rsidR="00EA22C1">
        <w:t>have</w:t>
      </w:r>
      <w:r w:rsidR="003E189F">
        <w:t xml:space="preserve"> </w:t>
      </w:r>
      <w:r w:rsidR="00050A76">
        <w:t>“</w:t>
      </w:r>
      <w:r w:rsidR="003E189F">
        <w:t>hard heart</w:t>
      </w:r>
      <w:r w:rsidR="00EA22C1">
        <w:t>s</w:t>
      </w:r>
      <w:r w:rsidR="00172BDE">
        <w:t>.”</w:t>
      </w:r>
      <w:r>
        <w:t xml:space="preserve"> Whether this is a viable reading of </w:t>
      </w:r>
      <w:r w:rsidR="00050A76">
        <w:t>Matt</w:t>
      </w:r>
      <w:r>
        <w:t xml:space="preserve"> </w:t>
      </w:r>
      <w:r w:rsidR="00050A76">
        <w:t>19:</w:t>
      </w:r>
      <w:r>
        <w:t>1-12 can only be determined by the context in which it is situated.</w:t>
      </w:r>
    </w:p>
    <w:p w:rsidR="001C4540" w:rsidRDefault="00E759E1" w:rsidP="006D063A">
      <w:pPr>
        <w:pStyle w:val="FootnoteText"/>
      </w:pPr>
      <w:r>
        <w:tab/>
        <w:t xml:space="preserve">Before turning to the literary context of </w:t>
      </w:r>
      <w:r w:rsidR="00050A76">
        <w:t>Matt</w:t>
      </w:r>
      <w:r>
        <w:t xml:space="preserve"> </w:t>
      </w:r>
      <w:r w:rsidR="00050A76">
        <w:t>19:</w:t>
      </w:r>
      <w:r>
        <w:t xml:space="preserve">1-12, a word of clarification has to be provided concerning such use of the </w:t>
      </w:r>
      <w:r w:rsidR="00E12002">
        <w:t>πορνεία</w:t>
      </w:r>
      <w:r>
        <w:t xml:space="preserve"> imagery.</w:t>
      </w:r>
      <w:r w:rsidR="001C4540">
        <w:t xml:space="preserve"> This use of the </w:t>
      </w:r>
      <w:r w:rsidR="00E12002">
        <w:rPr>
          <w:rFonts w:ascii="Times New Roman" w:hAnsi="Times New Roman" w:cs="Times New Roman"/>
        </w:rPr>
        <w:t>πορνεία</w:t>
      </w:r>
      <w:r w:rsidR="001C4540">
        <w:t xml:space="preserve"> imagery builds on the definition of</w:t>
      </w:r>
      <w:r w:rsidR="001C4540" w:rsidRPr="008423F0">
        <w:rPr>
          <w:rFonts w:cs="Times New Roman"/>
        </w:rPr>
        <w:t xml:space="preserve"> </w:t>
      </w:r>
      <w:r w:rsidR="00E12002">
        <w:t xml:space="preserve">πορνεία </w:t>
      </w:r>
      <w:r w:rsidR="001C4540">
        <w:t xml:space="preserve">as adultery. As noted above, this use of the adultery imagery is already present in the unique Matthean phrase, </w:t>
      </w:r>
      <w:r w:rsidR="00050A76">
        <w:t>“</w:t>
      </w:r>
      <w:r w:rsidR="001C4540">
        <w:t>evil and adulterous generation</w:t>
      </w:r>
      <w:r w:rsidR="00050A76">
        <w:t>”</w:t>
      </w:r>
      <w:r w:rsidR="001C4540">
        <w:t xml:space="preserve"> (12</w:t>
      </w:r>
      <w:r w:rsidR="00D32A5D">
        <w:t>:</w:t>
      </w:r>
      <w:r w:rsidR="001C4540">
        <w:t>39; 16</w:t>
      </w:r>
      <w:r w:rsidR="00D32A5D">
        <w:t>:</w:t>
      </w:r>
      <w:r w:rsidR="001C4540">
        <w:t xml:space="preserve">4). The question as to whether a discourse on (literal) adultery can carry an additional layer of meaning is answered by </w:t>
      </w:r>
      <w:r w:rsidR="00050A76">
        <w:t>Matt</w:t>
      </w:r>
      <w:r w:rsidR="001C4540">
        <w:t xml:space="preserve"> 5</w:t>
      </w:r>
      <w:r w:rsidR="00D32A5D">
        <w:t>:</w:t>
      </w:r>
      <w:r w:rsidR="001C4540">
        <w:t>27-28:</w:t>
      </w:r>
    </w:p>
    <w:p w:rsidR="001C4540" w:rsidRDefault="001C4540" w:rsidP="006D063A">
      <w:pPr>
        <w:pStyle w:val="FootnoteText"/>
      </w:pPr>
    </w:p>
    <w:p w:rsidR="00225D39" w:rsidRDefault="001C4540" w:rsidP="006D063A">
      <w:pPr>
        <w:pStyle w:val="FootnoteText"/>
      </w:pPr>
      <w:r>
        <w:tab/>
        <w:t xml:space="preserve">You have heard that it was </w:t>
      </w:r>
      <w:r w:rsidR="00225D39">
        <w:t xml:space="preserve">said: </w:t>
      </w:r>
    </w:p>
    <w:p w:rsidR="001C4540" w:rsidRDefault="00050A76" w:rsidP="006D063A">
      <w:pPr>
        <w:pStyle w:val="FootnoteText"/>
        <w:ind w:left="720" w:firstLine="720"/>
      </w:pPr>
      <w:r>
        <w:t>“</w:t>
      </w:r>
      <w:r w:rsidR="00225D39">
        <w:t>Do not commit adultery (</w:t>
      </w:r>
      <w:r w:rsidR="00E12002">
        <w:t>ο</w:t>
      </w:r>
      <w:r w:rsidR="00E12002">
        <w:rPr>
          <w:rFonts w:ascii="Times New Roman" w:hAnsi="Times New Roman" w:cs="Times New Roman"/>
        </w:rPr>
        <w:t>ὐ μοιχεύσεις</w:t>
      </w:r>
      <w:r w:rsidR="00225D39">
        <w:t>)</w:t>
      </w:r>
      <w:r w:rsidR="001C4540">
        <w:t>.</w:t>
      </w:r>
      <w:r>
        <w:t>”</w:t>
      </w:r>
    </w:p>
    <w:p w:rsidR="00225D39" w:rsidRDefault="001C4540" w:rsidP="006D063A">
      <w:pPr>
        <w:pStyle w:val="FootnoteText"/>
      </w:pPr>
      <w:r>
        <w:tab/>
        <w:t>But I say to you that anyone who</w:t>
      </w:r>
      <w:r w:rsidR="00DF6352">
        <w:t xml:space="preserve"> looks at a woman to lust over her </w:t>
      </w:r>
    </w:p>
    <w:p w:rsidR="00225D39" w:rsidRDefault="00DF6352" w:rsidP="006D063A">
      <w:pPr>
        <w:pStyle w:val="FootnoteText"/>
        <w:ind w:firstLine="720"/>
      </w:pPr>
      <w:r>
        <w:t>has already committed adultery</w:t>
      </w:r>
      <w:r w:rsidR="00225D39">
        <w:t xml:space="preserve"> (</w:t>
      </w:r>
      <w:r w:rsidR="00E12002">
        <w:rPr>
          <w:rFonts w:ascii="Times New Roman" w:hAnsi="Times New Roman" w:cs="Times New Roman"/>
        </w:rPr>
        <w:t>ἐμοίχευσεν</w:t>
      </w:r>
      <w:r w:rsidR="00225D39">
        <w:t>)</w:t>
      </w:r>
      <w:r>
        <w:t xml:space="preserve"> with her in his heart.</w:t>
      </w:r>
    </w:p>
    <w:p w:rsidR="00225D39" w:rsidRDefault="00225D39" w:rsidP="006D063A">
      <w:pPr>
        <w:pStyle w:val="FootnoteText"/>
        <w:ind w:firstLine="720"/>
      </w:pPr>
    </w:p>
    <w:p w:rsidR="00225D39" w:rsidRDefault="00225D39" w:rsidP="006D063A">
      <w:pPr>
        <w:pStyle w:val="FootnoteText"/>
      </w:pPr>
      <w:r>
        <w:t xml:space="preserve">In this saying, Jesus makes it clear that adultery should never be understood simply as a physical act. In other words, the adultery involved in lusting over a woman refers not only to a </w:t>
      </w:r>
      <w:r w:rsidR="00050A76">
        <w:t>“</w:t>
      </w:r>
      <w:r>
        <w:t>metaphorical</w:t>
      </w:r>
      <w:r w:rsidR="00050A76">
        <w:t>”</w:t>
      </w:r>
      <w:r>
        <w:t xml:space="preserve"> sense of violating the woman, but also an </w:t>
      </w:r>
      <w:r w:rsidR="00050A76">
        <w:t>“</w:t>
      </w:r>
      <w:r>
        <w:t>actual</w:t>
      </w:r>
      <w:r w:rsidR="00050A76">
        <w:t>”</w:t>
      </w:r>
      <w:r>
        <w:t xml:space="preserve"> violation of God’s covenant because adultery is </w:t>
      </w:r>
      <w:r w:rsidR="00050A76">
        <w:t>“</w:t>
      </w:r>
      <w:r>
        <w:t>not just a private matter</w:t>
      </w:r>
      <w:r w:rsidR="00050A76">
        <w:t>”</w:t>
      </w:r>
      <w:r>
        <w:t xml:space="preserve"> in the scriptura</w:t>
      </w:r>
      <w:r w:rsidR="00DC0145">
        <w:t>l traditions</w:t>
      </w:r>
      <w:r>
        <w:t>.</w:t>
      </w:r>
      <w:r w:rsidR="00DC0145">
        <w:rPr>
          <w:rStyle w:val="FootnoteReference"/>
        </w:rPr>
        <w:footnoteReference w:id="50"/>
      </w:r>
      <w:r>
        <w:t xml:space="preserve"> A clear distinction between physical adultery and spiritual adultery therefore </w:t>
      </w:r>
      <w:r w:rsidR="00366D93">
        <w:t>often cannot and should not be</w:t>
      </w:r>
      <w:r>
        <w:t xml:space="preserve"> made.</w:t>
      </w:r>
    </w:p>
    <w:p w:rsidR="00366D93" w:rsidRDefault="00225D39" w:rsidP="006D063A">
      <w:pPr>
        <w:pStyle w:val="FootnoteText"/>
      </w:pPr>
      <w:r>
        <w:tab/>
        <w:t xml:space="preserve">Moreover, in the </w:t>
      </w:r>
      <w:r w:rsidR="004072B6">
        <w:t>Jewish scriptures</w:t>
      </w:r>
      <w:r>
        <w:t>, marriage itself is often un</w:t>
      </w:r>
      <w:r w:rsidR="00523C04">
        <w:t>derstood in covenant</w:t>
      </w:r>
      <w:r w:rsidR="008677CB">
        <w:t>al</w:t>
      </w:r>
      <w:r w:rsidR="00523C04">
        <w:t xml:space="preserve"> terms.</w:t>
      </w:r>
      <w:r w:rsidR="000E0696">
        <w:t xml:space="preserve"> Th</w:t>
      </w:r>
      <w:r w:rsidR="00D32A5D">
        <w:t>is is particularly clear in Mal</w:t>
      </w:r>
      <w:r w:rsidR="000E0696">
        <w:t xml:space="preserve"> 2</w:t>
      </w:r>
      <w:r w:rsidR="00D32A5D">
        <w:t>:</w:t>
      </w:r>
      <w:r w:rsidR="000E0696">
        <w:t xml:space="preserve">10-16 where </w:t>
      </w:r>
      <w:r w:rsidR="009E0F44">
        <w:t xml:space="preserve">the </w:t>
      </w:r>
      <w:r w:rsidR="000E0696">
        <w:t>covenantal nature of marriage (and divorce) is most clear</w:t>
      </w:r>
      <w:r w:rsidR="00E269E2">
        <w:t>ly articulated</w:t>
      </w:r>
      <w:r w:rsidR="00366D93">
        <w:t>.</w:t>
      </w:r>
      <w:r w:rsidR="00DC0145">
        <w:rPr>
          <w:rStyle w:val="FootnoteReference"/>
        </w:rPr>
        <w:footnoteReference w:id="51"/>
      </w:r>
      <w:r w:rsidR="000E0696">
        <w:t xml:space="preserve"> </w:t>
      </w:r>
      <w:r w:rsidR="00366D93">
        <w:t>Marriage (and divorce) can</w:t>
      </w:r>
      <w:r w:rsidR="0020548C">
        <w:t xml:space="preserve"> in turn</w:t>
      </w:r>
      <w:r w:rsidR="00366D93">
        <w:t xml:space="preserve"> be understood as a </w:t>
      </w:r>
      <w:r w:rsidR="00050A76">
        <w:t>“</w:t>
      </w:r>
      <w:r w:rsidR="00366D93">
        <w:t>metaphorical</w:t>
      </w:r>
      <w:r w:rsidR="00050A76">
        <w:t>”</w:t>
      </w:r>
      <w:r w:rsidR="00366D93">
        <w:t xml:space="preserve"> expression of covenantal faithfulness (and unfaithfulness). Within this theological framework, the understanding of adultery as covenantal infidelity can no longer be considered merely as a secondary extension of the physical act of marital infidelity. </w:t>
      </w:r>
    </w:p>
    <w:p w:rsidR="00366D93" w:rsidRDefault="00366D93" w:rsidP="006D063A">
      <w:pPr>
        <w:pStyle w:val="FootnoteText"/>
      </w:pPr>
    </w:p>
    <w:p w:rsidR="00871067" w:rsidRPr="006D063A" w:rsidRDefault="00744F29" w:rsidP="006D063A">
      <w:pPr>
        <w:pStyle w:val="FootnoteText"/>
        <w:rPr>
          <w:b/>
        </w:rPr>
      </w:pPr>
      <w:r w:rsidRPr="006D063A">
        <w:rPr>
          <w:b/>
        </w:rPr>
        <w:t>IV.</w:t>
      </w:r>
      <w:r w:rsidRPr="006D063A">
        <w:rPr>
          <w:b/>
        </w:rPr>
        <w:tab/>
      </w:r>
      <w:r w:rsidR="00871067" w:rsidRPr="006D063A">
        <w:rPr>
          <w:b/>
        </w:rPr>
        <w:t xml:space="preserve">Matthew </w:t>
      </w:r>
      <w:r w:rsidR="00050A76" w:rsidRPr="006D063A">
        <w:rPr>
          <w:b/>
        </w:rPr>
        <w:t>19:</w:t>
      </w:r>
      <w:r w:rsidR="00871067" w:rsidRPr="006D063A">
        <w:rPr>
          <w:b/>
        </w:rPr>
        <w:t xml:space="preserve">1-12 within its Literary </w:t>
      </w:r>
      <w:r w:rsidR="000E6E85" w:rsidRPr="006D063A">
        <w:rPr>
          <w:b/>
        </w:rPr>
        <w:t>Context</w:t>
      </w:r>
    </w:p>
    <w:p w:rsidR="00926505" w:rsidRDefault="00552B26" w:rsidP="006D063A">
      <w:pPr>
        <w:pStyle w:val="FootnoteText"/>
      </w:pPr>
      <w:r>
        <w:rPr>
          <w:rFonts w:hint="eastAsia"/>
          <w:lang w:eastAsia="zh-TW"/>
        </w:rPr>
        <w:t>U</w:t>
      </w:r>
      <w:r w:rsidR="004179D9">
        <w:t>nderstanding</w:t>
      </w:r>
      <w:r>
        <w:t xml:space="preserve"> </w:t>
      </w:r>
      <w:r w:rsidR="004179D9">
        <w:t>Jesu</w:t>
      </w:r>
      <w:r w:rsidR="00975272">
        <w:t>s’</w:t>
      </w:r>
      <w:r w:rsidR="004179D9">
        <w:t xml:space="preserve"> discourse on adultery and divorce as addressing also the </w:t>
      </w:r>
      <w:r w:rsidR="004A5BBF">
        <w:t>covenantal</w:t>
      </w:r>
      <w:r w:rsidR="004179D9">
        <w:t xml:space="preserve"> infidelity of God’s people would explain the function of </w:t>
      </w:r>
      <w:r w:rsidR="00050A76">
        <w:t>Matt</w:t>
      </w:r>
      <w:r w:rsidR="004179D9">
        <w:t xml:space="preserve"> </w:t>
      </w:r>
      <w:r w:rsidR="00050A76">
        <w:t>19:</w:t>
      </w:r>
      <w:r w:rsidR="004179D9">
        <w:t xml:space="preserve">1-12 in its literary </w:t>
      </w:r>
      <w:r w:rsidR="000E6E85">
        <w:t>context</w:t>
      </w:r>
      <w:r w:rsidR="004179D9">
        <w:t>.</w:t>
      </w:r>
    </w:p>
    <w:p w:rsidR="00926505" w:rsidRDefault="00926505" w:rsidP="006D063A">
      <w:pPr>
        <w:pStyle w:val="FootnoteText"/>
      </w:pPr>
    </w:p>
    <w:p w:rsidR="00926505" w:rsidRPr="00926505" w:rsidRDefault="00926505" w:rsidP="006D063A">
      <w:pPr>
        <w:pStyle w:val="FootnoteText"/>
        <w:rPr>
          <w:i/>
        </w:rPr>
      </w:pPr>
      <w:r w:rsidRPr="00926505">
        <w:rPr>
          <w:i/>
        </w:rPr>
        <w:t>a.</w:t>
      </w:r>
      <w:r w:rsidRPr="00926505">
        <w:rPr>
          <w:i/>
        </w:rPr>
        <w:tab/>
        <w:t xml:space="preserve">Matthew </w:t>
      </w:r>
      <w:r w:rsidR="00050A76">
        <w:rPr>
          <w:i/>
        </w:rPr>
        <w:t>19:</w:t>
      </w:r>
      <w:r w:rsidRPr="00926505">
        <w:rPr>
          <w:i/>
        </w:rPr>
        <w:t>1-</w:t>
      </w:r>
      <w:r w:rsidR="00050A76">
        <w:rPr>
          <w:i/>
        </w:rPr>
        <w:t>20:</w:t>
      </w:r>
      <w:r w:rsidRPr="00926505">
        <w:rPr>
          <w:i/>
        </w:rPr>
        <w:t>16</w:t>
      </w:r>
    </w:p>
    <w:p w:rsidR="00B63430" w:rsidRDefault="00926505" w:rsidP="006D063A">
      <w:pPr>
        <w:pStyle w:val="FootnoteText"/>
      </w:pPr>
      <w:r>
        <w:tab/>
      </w:r>
      <w:r w:rsidR="00050A76">
        <w:t>Matt</w:t>
      </w:r>
      <w:r w:rsidR="00D06D86">
        <w:t xml:space="preserve"> </w:t>
      </w:r>
      <w:r w:rsidR="00050A76">
        <w:t>19:</w:t>
      </w:r>
      <w:r w:rsidR="00D06D86">
        <w:t xml:space="preserve">1-12 falls within the larger section of </w:t>
      </w:r>
      <w:r w:rsidR="00050A76">
        <w:t>19:</w:t>
      </w:r>
      <w:r w:rsidR="00D06D86">
        <w:t>1-</w:t>
      </w:r>
      <w:r w:rsidR="00050A76">
        <w:t>20:</w:t>
      </w:r>
      <w:r w:rsidR="00D06D86">
        <w:t>16.</w:t>
      </w:r>
      <w:r w:rsidR="00D06D86">
        <w:rPr>
          <w:rStyle w:val="FootnoteReference"/>
        </w:rPr>
        <w:footnoteReference w:id="52"/>
      </w:r>
      <w:r w:rsidR="003B45FA">
        <w:t xml:space="preserve"> The exact</w:t>
      </w:r>
      <w:r w:rsidR="009D0406">
        <w:t xml:space="preserve"> thematic connection among the various </w:t>
      </w:r>
      <w:r w:rsidR="004A5BBF">
        <w:t>passages</w:t>
      </w:r>
      <w:r w:rsidR="009D0406">
        <w:t xml:space="preserve"> within this section remains</w:t>
      </w:r>
      <w:r w:rsidR="00724BE9">
        <w:t>, however,</w:t>
      </w:r>
      <w:r w:rsidR="009D0406">
        <w:t xml:space="preserve"> unclear to many. Ulrich Luz </w:t>
      </w:r>
      <w:r w:rsidR="00597A41">
        <w:t>readily suggests that</w:t>
      </w:r>
      <w:r w:rsidR="009D0406">
        <w:t xml:space="preserve"> </w:t>
      </w:r>
      <w:r w:rsidR="00050A76">
        <w:t>“</w:t>
      </w:r>
      <w:r w:rsidR="009D0406">
        <w:t xml:space="preserve">there is no apparent systematic arrangement of the scenes, which </w:t>
      </w:r>
      <w:r w:rsidR="004A5BBF">
        <w:t>themselves</w:t>
      </w:r>
      <w:r w:rsidR="009D0406">
        <w:t xml:space="preserve"> are formally different and are of </w:t>
      </w:r>
      <w:r w:rsidR="004A5BBF">
        <w:t>varying</w:t>
      </w:r>
      <w:r w:rsidR="009D0406">
        <w:t xml:space="preserve"> </w:t>
      </w:r>
      <w:r w:rsidR="004A5BBF">
        <w:t>lengths</w:t>
      </w:r>
      <w:r w:rsidR="00A60893">
        <w:t>.</w:t>
      </w:r>
      <w:r w:rsidR="00050A76">
        <w:t>”</w:t>
      </w:r>
      <w:r w:rsidR="00E269E2">
        <w:rPr>
          <w:rStyle w:val="FootnoteReference"/>
        </w:rPr>
        <w:footnoteReference w:id="53"/>
      </w:r>
      <w:r w:rsidR="00A60893">
        <w:t xml:space="preserve"> Others simply consider this as a transition section with </w:t>
      </w:r>
      <w:r w:rsidR="00050A76">
        <w:t>“</w:t>
      </w:r>
      <w:r w:rsidR="00A60893">
        <w:t>loosely connected episodes</w:t>
      </w:r>
      <w:r w:rsidR="00050A76">
        <w:t>”</w:t>
      </w:r>
      <w:r w:rsidR="00A60893">
        <w:t xml:space="preserve">: </w:t>
      </w:r>
      <w:r w:rsidR="00050A76">
        <w:t>“</w:t>
      </w:r>
      <w:r w:rsidR="00A60893">
        <w:t>it serves as summary of all that has preceded it, and at the same time as introduction to the final events and concluding teaching of the ministry.</w:t>
      </w:r>
      <w:r w:rsidR="00E269E2">
        <w:t>”</w:t>
      </w:r>
      <w:r w:rsidR="00E269E2">
        <w:rPr>
          <w:rStyle w:val="FootnoteReference"/>
        </w:rPr>
        <w:footnoteReference w:id="54"/>
      </w:r>
      <w:r w:rsidR="007B782E">
        <w:t xml:space="preserve"> </w:t>
      </w:r>
      <w:r w:rsidR="00A60893">
        <w:t xml:space="preserve">For those </w:t>
      </w:r>
      <w:r w:rsidR="007B782E">
        <w:t xml:space="preserve">who see a unifying theme, a general umbrella term such as </w:t>
      </w:r>
      <w:r w:rsidR="00050A76">
        <w:t>“</w:t>
      </w:r>
      <w:r w:rsidR="007B782E">
        <w:t xml:space="preserve">everyday </w:t>
      </w:r>
      <w:r w:rsidR="00474290">
        <w:t>existence</w:t>
      </w:r>
      <w:r w:rsidR="00050A76">
        <w:t>”</w:t>
      </w:r>
      <w:r w:rsidR="00E269E2">
        <w:t xml:space="preserve"> </w:t>
      </w:r>
      <w:r w:rsidR="007B782E">
        <w:t>has often been applied to this section.</w:t>
      </w:r>
      <w:r w:rsidR="00E269E2">
        <w:rPr>
          <w:rStyle w:val="FootnoteReference"/>
        </w:rPr>
        <w:footnoteReference w:id="55"/>
      </w:r>
      <w:r w:rsidR="007B782E">
        <w:t xml:space="preserve"> These labels point to the presence of diverse material in this section, but they are insufficient in explaining why</w:t>
      </w:r>
      <w:r w:rsidR="00B63430">
        <w:t xml:space="preserve"> it is situated between a section that centers on ecclesiological concerns (16</w:t>
      </w:r>
      <w:r w:rsidR="00D32A5D">
        <w:t>:</w:t>
      </w:r>
      <w:r w:rsidR="00B63430">
        <w:t>21-18</w:t>
      </w:r>
      <w:r w:rsidR="00D32A5D">
        <w:t>:</w:t>
      </w:r>
      <w:r w:rsidR="00B63430">
        <w:t>35) and a section that depicts Jesu</w:t>
      </w:r>
      <w:r w:rsidR="00975272">
        <w:t>s’</w:t>
      </w:r>
      <w:r w:rsidR="00B63430">
        <w:t xml:space="preserve"> final approach into </w:t>
      </w:r>
      <w:r w:rsidR="004A5BBF">
        <w:t>Jerusalem</w:t>
      </w:r>
      <w:r w:rsidR="00B63430">
        <w:t xml:space="preserve"> (</w:t>
      </w:r>
      <w:r w:rsidR="00050A76">
        <w:t>20:</w:t>
      </w:r>
      <w:r w:rsidR="00B63430">
        <w:t>17-23</w:t>
      </w:r>
      <w:r w:rsidR="00D32A5D">
        <w:t>:</w:t>
      </w:r>
      <w:r w:rsidR="00B63430">
        <w:t>39).</w:t>
      </w:r>
    </w:p>
    <w:p w:rsidR="00A05F4F" w:rsidRDefault="00B63430" w:rsidP="006D063A">
      <w:pPr>
        <w:pStyle w:val="FootnoteText"/>
      </w:pPr>
      <w:r>
        <w:tab/>
      </w:r>
      <w:r w:rsidR="00980352">
        <w:t xml:space="preserve">More promising is the proposal of Warren Carter who argues that this section should be </w:t>
      </w:r>
      <w:r w:rsidR="00597A41">
        <w:t>read</w:t>
      </w:r>
      <w:r w:rsidR="00980352">
        <w:t xml:space="preserve"> in light of the ancient </w:t>
      </w:r>
      <w:r w:rsidR="00A05F4F" w:rsidRPr="008D2F99">
        <w:rPr>
          <w:i/>
        </w:rPr>
        <w:t>Haustafel</w:t>
      </w:r>
      <w:r w:rsidR="009A2A9B">
        <w:rPr>
          <w:i/>
        </w:rPr>
        <w:t>n</w:t>
      </w:r>
      <w:r w:rsidR="00A05F4F">
        <w:t>:</w:t>
      </w:r>
      <w:r w:rsidR="00220D98">
        <w:rPr>
          <w:rStyle w:val="FootnoteReference"/>
        </w:rPr>
        <w:footnoteReference w:id="56"/>
      </w:r>
    </w:p>
    <w:p w:rsidR="00070F93" w:rsidRDefault="00070F93" w:rsidP="006D063A">
      <w:pPr>
        <w:pStyle w:val="FootnoteText"/>
      </w:pPr>
    </w:p>
    <w:p w:rsidR="00A05F4F" w:rsidRDefault="00070F93" w:rsidP="006D063A">
      <w:pPr>
        <w:pStyle w:val="FootnoteText"/>
      </w:pPr>
      <w:r>
        <w:tab/>
      </w:r>
      <w:r w:rsidR="00050A76">
        <w:t>19:</w:t>
      </w:r>
      <w:r>
        <w:t>1-2</w:t>
      </w:r>
      <w:r>
        <w:tab/>
      </w:r>
      <w:r>
        <w:tab/>
        <w:t>Transition</w:t>
      </w:r>
    </w:p>
    <w:p w:rsidR="00022476" w:rsidRDefault="00A05F4F" w:rsidP="006D063A">
      <w:pPr>
        <w:pStyle w:val="FootnoteText"/>
      </w:pPr>
      <w:r>
        <w:tab/>
      </w:r>
      <w:r w:rsidR="00050A76">
        <w:t>19:</w:t>
      </w:r>
      <w:r w:rsidR="00022476">
        <w:t>3-12</w:t>
      </w:r>
      <w:r w:rsidR="00022476">
        <w:tab/>
        <w:t>Marriage and Divorce</w:t>
      </w:r>
    </w:p>
    <w:p w:rsidR="00070F93" w:rsidRDefault="00022476" w:rsidP="006D063A">
      <w:pPr>
        <w:pStyle w:val="FootnoteText"/>
      </w:pPr>
      <w:r>
        <w:tab/>
      </w:r>
      <w:r w:rsidR="00050A76">
        <w:t>19:</w:t>
      </w:r>
      <w:r w:rsidR="00070F93">
        <w:t>13-15</w:t>
      </w:r>
      <w:r w:rsidR="00070F93">
        <w:tab/>
        <w:t>Children</w:t>
      </w:r>
    </w:p>
    <w:p w:rsidR="00070F93" w:rsidRDefault="00070F93" w:rsidP="006D063A">
      <w:pPr>
        <w:pStyle w:val="FootnoteText"/>
      </w:pPr>
      <w:r>
        <w:tab/>
      </w:r>
      <w:r w:rsidR="00050A76">
        <w:t>19:</w:t>
      </w:r>
      <w:r>
        <w:t>16-30</w:t>
      </w:r>
      <w:r>
        <w:tab/>
        <w:t>Wealth</w:t>
      </w:r>
    </w:p>
    <w:p w:rsidR="00070F93" w:rsidRDefault="00070F93" w:rsidP="006D063A">
      <w:pPr>
        <w:pStyle w:val="FootnoteText"/>
      </w:pPr>
      <w:r>
        <w:tab/>
      </w:r>
      <w:r w:rsidR="00050A76">
        <w:t>20:</w:t>
      </w:r>
      <w:r>
        <w:t>1-16</w:t>
      </w:r>
      <w:r>
        <w:tab/>
        <w:t>Householder and Laborers</w:t>
      </w:r>
      <w:r>
        <w:rPr>
          <w:rStyle w:val="FootnoteReference"/>
        </w:rPr>
        <w:footnoteReference w:id="57"/>
      </w:r>
    </w:p>
    <w:p w:rsidR="00070F93" w:rsidRDefault="00070F93" w:rsidP="006D063A">
      <w:pPr>
        <w:pStyle w:val="FootnoteText"/>
      </w:pPr>
    </w:p>
    <w:p w:rsidR="00F40114" w:rsidRDefault="0066007F" w:rsidP="006D063A">
      <w:pPr>
        <w:pStyle w:val="FootnoteText"/>
      </w:pPr>
      <w:r>
        <w:t>This structure corresponds to Aristotle’s discussion of the household as he deals with husbands and wives, fathers and children, masters and slaves, and also wealth and possessions (</w:t>
      </w:r>
      <w:r w:rsidRPr="0066007F">
        <w:rPr>
          <w:i/>
        </w:rPr>
        <w:t>Pol</w:t>
      </w:r>
      <w:r>
        <w:t>. 1.1253b).</w:t>
      </w:r>
      <w:r w:rsidR="00976A70">
        <w:rPr>
          <w:rStyle w:val="FootnoteReference"/>
        </w:rPr>
        <w:footnoteReference w:id="58"/>
      </w:r>
      <w:r>
        <w:t xml:space="preserve"> </w:t>
      </w:r>
      <w:r w:rsidR="008D2F99">
        <w:t xml:space="preserve">This organization not only provides </w:t>
      </w:r>
      <w:r w:rsidR="00597A41">
        <w:t xml:space="preserve">a coherent </w:t>
      </w:r>
      <w:r w:rsidR="008D2F99">
        <w:t xml:space="preserve">structure to the diverse </w:t>
      </w:r>
      <w:r w:rsidR="00DA60C5">
        <w:t xml:space="preserve">material in </w:t>
      </w:r>
      <w:r w:rsidR="00050A76">
        <w:t>Matt</w:t>
      </w:r>
      <w:r w:rsidR="00DA60C5">
        <w:t xml:space="preserve"> </w:t>
      </w:r>
      <w:r w:rsidR="00050A76">
        <w:t>19:</w:t>
      </w:r>
      <w:r w:rsidR="00DA60C5">
        <w:t>1-</w:t>
      </w:r>
      <w:r w:rsidR="00050A76">
        <w:t>20:</w:t>
      </w:r>
      <w:r w:rsidR="00DA60C5">
        <w:t>16, it also points to the ecclesiological significance of this section since household discussions o</w:t>
      </w:r>
      <w:r w:rsidR="00F40114">
        <w:t xml:space="preserve">ften carry political overtones </w:t>
      </w:r>
      <w:r w:rsidR="0088031F">
        <w:t>when the household</w:t>
      </w:r>
      <w:r w:rsidR="00F40114">
        <w:t xml:space="preserve"> in these traditions is considered </w:t>
      </w:r>
      <w:r w:rsidR="005150BC">
        <w:t>“</w:t>
      </w:r>
      <w:r w:rsidR="00F40114">
        <w:t>the basic unit of a state or kingdom or city, and a microcosm of imperial society.</w:t>
      </w:r>
      <w:r w:rsidR="005150BC">
        <w:t>”</w:t>
      </w:r>
      <w:r w:rsidR="00A15171">
        <w:rPr>
          <w:rStyle w:val="FootnoteReference"/>
        </w:rPr>
        <w:footnoteReference w:id="59"/>
      </w:r>
    </w:p>
    <w:p w:rsidR="0083114E" w:rsidRDefault="00F40114" w:rsidP="006D063A">
      <w:pPr>
        <w:pStyle w:val="FootnoteText"/>
      </w:pPr>
      <w:r>
        <w:tab/>
        <w:t>Although particular aspects of this proposal c</w:t>
      </w:r>
      <w:r w:rsidR="0088031F">
        <w:t>an be challenged, it does point</w:t>
      </w:r>
      <w:r>
        <w:t xml:space="preserve"> to the significance of these household relationships for the discussion of the </w:t>
      </w:r>
      <w:r w:rsidR="00BE51DE">
        <w:t>nature of God’s household</w:t>
      </w:r>
      <w:r>
        <w:t xml:space="preserve">. </w:t>
      </w:r>
      <w:r w:rsidR="005150BC">
        <w:t>Carter</w:t>
      </w:r>
      <w:r w:rsidR="0083114E">
        <w:t xml:space="preserve"> himself recognizes that the discussions </w:t>
      </w:r>
      <w:r w:rsidR="002D245B">
        <w:t xml:space="preserve">about </w:t>
      </w:r>
      <w:r w:rsidR="0083114E">
        <w:t>children, wealth, and slaves</w:t>
      </w:r>
      <w:r>
        <w:t xml:space="preserve"> </w:t>
      </w:r>
      <w:r w:rsidR="0083114E">
        <w:t xml:space="preserve">are not simply discussions </w:t>
      </w:r>
      <w:r w:rsidR="002D245B">
        <w:t>about</w:t>
      </w:r>
      <w:r w:rsidR="0083114E">
        <w:t xml:space="preserve"> domestic matters, but they provide a new model for the structure of God’s renewed people: </w:t>
      </w:r>
      <w:r w:rsidR="00050A76">
        <w:t>“</w:t>
      </w:r>
      <w:r w:rsidR="0083114E">
        <w:t>all disciples are children, there are no parents (</w:t>
      </w:r>
      <w:r w:rsidR="00050A76">
        <w:t>19:</w:t>
      </w:r>
      <w:r w:rsidR="0083114E">
        <w:t>13-15); following Jesus, not procuring wealth and status, defines discipleship (</w:t>
      </w:r>
      <w:r w:rsidR="00050A76">
        <w:t>19:</w:t>
      </w:r>
      <w:r w:rsidR="0083114E">
        <w:t>16-30); all disciples are slaves like Jesus, there are no masters (</w:t>
      </w:r>
      <w:r w:rsidR="00050A76">
        <w:t>20:</w:t>
      </w:r>
      <w:r w:rsidR="0083114E">
        <w:t>17-28).</w:t>
      </w:r>
      <w:r w:rsidR="00050A76">
        <w:t>”</w:t>
      </w:r>
      <w:r w:rsidR="00AE4148">
        <w:rPr>
          <w:rStyle w:val="FootnoteReference"/>
        </w:rPr>
        <w:footnoteReference w:id="60"/>
      </w:r>
      <w:r w:rsidR="0083114E">
        <w:t xml:space="preserve"> While the ecclesiological implications for all these relationships are </w:t>
      </w:r>
      <w:r w:rsidR="004A5BBF">
        <w:t>well noted</w:t>
      </w:r>
      <w:r w:rsidR="0083114E">
        <w:t xml:space="preserve">, it is surprising that Carter limits the discussion of marriage and divorce to the domestic level: </w:t>
      </w:r>
      <w:r w:rsidR="00050A76">
        <w:t>“</w:t>
      </w:r>
      <w:r w:rsidR="0083114E">
        <w:t xml:space="preserve">Husbands are not to </w:t>
      </w:r>
      <w:r w:rsidR="00374C8D">
        <w:t>rule</w:t>
      </w:r>
      <w:r w:rsidR="0083114E">
        <w:t xml:space="preserve"> over wives but to participat</w:t>
      </w:r>
      <w:r w:rsidR="00050A76">
        <w:t>e in a ‘one-flesh’ relationship</w:t>
      </w:r>
      <w:r w:rsidR="0083114E">
        <w:t xml:space="preserve"> (</w:t>
      </w:r>
      <w:r w:rsidR="00050A76">
        <w:t>19:</w:t>
      </w:r>
      <w:r w:rsidR="0083114E">
        <w:t>3-12</w:t>
      </w:r>
      <w:r w:rsidR="0088031F">
        <w:t>)</w:t>
      </w:r>
      <w:r w:rsidR="00C94A2C">
        <w:t>.</w:t>
      </w:r>
      <w:r w:rsidR="00050A76">
        <w:t>”</w:t>
      </w:r>
      <w:r w:rsidR="00C94A2C">
        <w:rPr>
          <w:rStyle w:val="FootnoteReference"/>
        </w:rPr>
        <w:footnoteReference w:id="61"/>
      </w:r>
    </w:p>
    <w:p w:rsidR="00B77EE0" w:rsidRDefault="0083114E" w:rsidP="006D063A">
      <w:pPr>
        <w:pStyle w:val="FootnoteText"/>
      </w:pPr>
      <w:r>
        <w:tab/>
        <w:t>If the discussion</w:t>
      </w:r>
      <w:r w:rsidR="00374C8D">
        <w:t>s on</w:t>
      </w:r>
      <w:r>
        <w:t xml:space="preserve"> children, wealth, and slaves </w:t>
      </w:r>
      <w:r w:rsidR="00AE4148">
        <w:t>point further to</w:t>
      </w:r>
      <w:r>
        <w:t xml:space="preserve"> </w:t>
      </w:r>
      <w:r w:rsidR="0088031F">
        <w:t xml:space="preserve">aspects of </w:t>
      </w:r>
      <w:r>
        <w:t>the reality of God’s renewed people, the section on marriage and divorce (</w:t>
      </w:r>
      <w:r w:rsidR="00050A76">
        <w:t>19:</w:t>
      </w:r>
      <w:r>
        <w:t xml:space="preserve">1-12) </w:t>
      </w:r>
      <w:r w:rsidR="00BE51DE">
        <w:t>may</w:t>
      </w:r>
      <w:r>
        <w:t xml:space="preserve"> carry </w:t>
      </w:r>
      <w:r w:rsidR="00597A41">
        <w:t xml:space="preserve">a </w:t>
      </w:r>
      <w:r>
        <w:t xml:space="preserve">similar ecclesiological function. Our discussion </w:t>
      </w:r>
      <w:r w:rsidR="002D245B">
        <w:t xml:space="preserve">about </w:t>
      </w:r>
      <w:r>
        <w:t xml:space="preserve">divorce and adultery </w:t>
      </w:r>
      <w:r w:rsidR="00374C8D">
        <w:t>within the</w:t>
      </w:r>
      <w:r>
        <w:t xml:space="preserve"> </w:t>
      </w:r>
      <w:r w:rsidR="004A5BBF">
        <w:t>covenantal</w:t>
      </w:r>
      <w:r>
        <w:t xml:space="preserve"> framework would fit well into this context. </w:t>
      </w:r>
      <w:r w:rsidR="00050A76">
        <w:t>Matt</w:t>
      </w:r>
      <w:r>
        <w:t xml:space="preserve"> </w:t>
      </w:r>
      <w:r w:rsidR="00050A76">
        <w:t>19:</w:t>
      </w:r>
      <w:r>
        <w:t xml:space="preserve">1-12 is not simply </w:t>
      </w:r>
      <w:r w:rsidR="0088031F">
        <w:t xml:space="preserve">a </w:t>
      </w:r>
      <w:r w:rsidR="00374C8D">
        <w:t>general challenge to the cultural norms of gender relationship</w:t>
      </w:r>
      <w:r w:rsidR="00240C26">
        <w:t>s</w:t>
      </w:r>
      <w:r w:rsidR="00374C8D">
        <w:t xml:space="preserve"> of the day, it provides specific ecclesiological application in the context of Matthew’s </w:t>
      </w:r>
      <w:r w:rsidR="00BE51DE">
        <w:t>G</w:t>
      </w:r>
      <w:r w:rsidR="00374C8D">
        <w:t xml:space="preserve">ospel. As God’s people continue to refuse to respond to the gospel Jesus is proclaiming, they are threatened to be separated from their covenantal partner, since divorce is indeed possible when </w:t>
      </w:r>
      <w:r w:rsidR="00E12002" w:rsidRPr="00E12002">
        <w:rPr>
          <w:rFonts w:ascii="Times" w:hAnsi="Times"/>
          <w:color w:val="000000"/>
        </w:rPr>
        <w:t>γενεὰ πονηρὰ καὶ μοιχαλ</w:t>
      </w:r>
      <w:r w:rsidR="00E12002">
        <w:rPr>
          <w:rFonts w:ascii="Times" w:hAnsi="Times"/>
        </w:rPr>
        <w:t>ίς</w:t>
      </w:r>
      <w:r w:rsidR="00374C8D">
        <w:t xml:space="preserve"> </w:t>
      </w:r>
      <w:r w:rsidR="00771B41">
        <w:t>(12</w:t>
      </w:r>
      <w:r w:rsidR="00D32A5D">
        <w:t>:</w:t>
      </w:r>
      <w:r w:rsidR="00771B41">
        <w:t>39; 16</w:t>
      </w:r>
      <w:r w:rsidR="00D32A5D">
        <w:t>:</w:t>
      </w:r>
      <w:r w:rsidR="00771B41">
        <w:t xml:space="preserve">4) </w:t>
      </w:r>
      <w:r w:rsidR="0088031F">
        <w:t>is</w:t>
      </w:r>
      <w:r w:rsidR="00374C8D">
        <w:t xml:space="preserve"> immersed in </w:t>
      </w:r>
      <w:r w:rsidR="00E12002">
        <w:t xml:space="preserve">πορνεία </w:t>
      </w:r>
      <w:r w:rsidR="00771B41">
        <w:t>(</w:t>
      </w:r>
      <w:r w:rsidR="00050A76">
        <w:t>19:</w:t>
      </w:r>
      <w:r w:rsidR="00771B41">
        <w:t>9)</w:t>
      </w:r>
      <w:r w:rsidR="00374C8D">
        <w:t>.</w:t>
      </w:r>
      <w:r>
        <w:t xml:space="preserve"> </w:t>
      </w:r>
    </w:p>
    <w:p w:rsidR="00374C8D" w:rsidRDefault="00B77EE0" w:rsidP="006D063A">
      <w:pPr>
        <w:pStyle w:val="FootnoteText"/>
      </w:pPr>
      <w:r>
        <w:tab/>
        <w:t xml:space="preserve">The emphasis on the Jewish leaders as representing the unrepentant people of God appears at the beginning of this section </w:t>
      </w:r>
      <w:r w:rsidR="002D245B">
        <w:t xml:space="preserve">where </w:t>
      </w:r>
      <w:r>
        <w:t xml:space="preserve">it is noted that the </w:t>
      </w:r>
      <w:r w:rsidR="004A5BBF">
        <w:t>Pharisees</w:t>
      </w:r>
      <w:r>
        <w:t xml:space="preserve"> came to Jesus for the purpose of </w:t>
      </w:r>
      <w:r w:rsidR="00050A76">
        <w:t>“</w:t>
      </w:r>
      <w:r>
        <w:t>testing</w:t>
      </w:r>
      <w:r w:rsidR="00050A76">
        <w:t>”</w:t>
      </w:r>
      <w:r>
        <w:t xml:space="preserve"> (</w:t>
      </w:r>
      <w:r w:rsidR="00E12002">
        <w:t>πειράζοντες</w:t>
      </w:r>
      <w:r w:rsidR="001E6D48">
        <w:t xml:space="preserve">, </w:t>
      </w:r>
      <w:r w:rsidR="00050A76">
        <w:t>19:</w:t>
      </w:r>
      <w:r w:rsidR="001E6D48">
        <w:t>3</w:t>
      </w:r>
      <w:r w:rsidR="0088031F">
        <w:t xml:space="preserve">) him. This </w:t>
      </w:r>
      <w:r w:rsidR="00050A76">
        <w:t>“</w:t>
      </w:r>
      <w:r w:rsidR="0088031F">
        <w:t>testing</w:t>
      </w:r>
      <w:r w:rsidR="00050A76">
        <w:t>”</w:t>
      </w:r>
      <w:r w:rsidR="0088031F">
        <w:t xml:space="preserve"> vocabulary not only ties the work of the Pharisees with that of </w:t>
      </w:r>
      <w:r w:rsidR="001E6D48">
        <w:t>the devil in 4</w:t>
      </w:r>
      <w:r w:rsidR="00D32A5D">
        <w:t>:</w:t>
      </w:r>
      <w:r w:rsidR="001E6D48">
        <w:t>1, 3, it also ties this passage with 16</w:t>
      </w:r>
      <w:r w:rsidR="00D32A5D">
        <w:t>:</w:t>
      </w:r>
      <w:r w:rsidR="001E6D48">
        <w:t xml:space="preserve">1-4 when </w:t>
      </w:r>
      <w:r w:rsidR="00050A76">
        <w:t>“</w:t>
      </w:r>
      <w:r w:rsidR="001E6D48">
        <w:t xml:space="preserve">the Pharisees and </w:t>
      </w:r>
      <w:r w:rsidR="004A5BBF">
        <w:t>Sadducees</w:t>
      </w:r>
      <w:r w:rsidR="001E6D48">
        <w:t xml:space="preserve"> came to Jesus to test (</w:t>
      </w:r>
      <w:r w:rsidR="00E12002">
        <w:t>πειράζοντες</w:t>
      </w:r>
      <w:r w:rsidR="001E6D48">
        <w:t>) him.</w:t>
      </w:r>
      <w:r w:rsidR="00050A76">
        <w:t>”</w:t>
      </w:r>
      <w:r w:rsidR="001E6D48">
        <w:t xml:space="preserve"> In response Jesus </w:t>
      </w:r>
      <w:r w:rsidR="004A5BBF">
        <w:t>labeled</w:t>
      </w:r>
      <w:r w:rsidR="001E6D48">
        <w:t xml:space="preserve"> them an </w:t>
      </w:r>
      <w:r w:rsidR="00050A76">
        <w:t>“</w:t>
      </w:r>
      <w:r w:rsidR="001E6D48">
        <w:t>evil and adulterous generation</w:t>
      </w:r>
      <w:r w:rsidR="00050A76">
        <w:t>”</w:t>
      </w:r>
      <w:r w:rsidR="001E6D48">
        <w:t xml:space="preserve"> (</w:t>
      </w:r>
      <w:r w:rsidR="00E12002" w:rsidRPr="00E12002">
        <w:rPr>
          <w:rFonts w:ascii="Times" w:hAnsi="Times"/>
          <w:color w:val="000000"/>
        </w:rPr>
        <w:t>γενεὰ πονηρὰ καὶ μοιχαλ</w:t>
      </w:r>
      <w:r w:rsidR="00E12002">
        <w:rPr>
          <w:rFonts w:ascii="Times" w:hAnsi="Times"/>
        </w:rPr>
        <w:t>ίς</w:t>
      </w:r>
      <w:r w:rsidR="001E6D48">
        <w:t>, 16</w:t>
      </w:r>
      <w:r w:rsidR="00D32A5D">
        <w:t>:</w:t>
      </w:r>
      <w:r w:rsidR="001E6D48">
        <w:t xml:space="preserve">4). It is precisely to this </w:t>
      </w:r>
      <w:r w:rsidR="00050A76">
        <w:t>“</w:t>
      </w:r>
      <w:r w:rsidR="001E6D48">
        <w:t>evil and adulterous generation</w:t>
      </w:r>
      <w:r w:rsidR="00050A76">
        <w:t>”</w:t>
      </w:r>
      <w:r w:rsidR="001E6D48">
        <w:t xml:space="preserve"> that Jesus issues his accusation against them for their infidelity to their God in </w:t>
      </w:r>
      <w:r w:rsidR="00050A76">
        <w:t>19:</w:t>
      </w:r>
      <w:r w:rsidR="001E6D48">
        <w:t>1-12.</w:t>
      </w:r>
    </w:p>
    <w:p w:rsidR="00AE4148" w:rsidRDefault="00374C8D" w:rsidP="006D063A">
      <w:pPr>
        <w:pStyle w:val="FootnoteText"/>
      </w:pPr>
      <w:r>
        <w:tab/>
      </w:r>
      <w:r w:rsidR="006341E3">
        <w:t xml:space="preserve">This reading is also confirmed by the content of </w:t>
      </w:r>
      <w:r w:rsidR="00050A76">
        <w:t>19:</w:t>
      </w:r>
      <w:r w:rsidR="007F4855">
        <w:t>1-</w:t>
      </w:r>
      <w:r w:rsidR="00050A76">
        <w:t>20:</w:t>
      </w:r>
      <w:r w:rsidR="007F4855">
        <w:t xml:space="preserve">16 where the motif of </w:t>
      </w:r>
      <w:r w:rsidR="00845518">
        <w:t>rebellion</w:t>
      </w:r>
      <w:r w:rsidR="00AE4148">
        <w:t xml:space="preserve"> against God and his Messiah</w:t>
      </w:r>
      <w:r w:rsidR="007F4855">
        <w:t xml:space="preserve"> dominates this section that contains a series of controve</w:t>
      </w:r>
      <w:r w:rsidR="0049795B">
        <w:t>rsy stories</w:t>
      </w:r>
      <w:r w:rsidR="007F4855">
        <w:t>.</w:t>
      </w:r>
      <w:r w:rsidR="00C94A2C">
        <w:rPr>
          <w:rStyle w:val="FootnoteReference"/>
        </w:rPr>
        <w:footnoteReference w:id="62"/>
      </w:r>
      <w:r w:rsidR="007F4855">
        <w:t xml:space="preserve"> The ecclesiological import of this section</w:t>
      </w:r>
      <w:r w:rsidR="00AE4148">
        <w:t xml:space="preserve"> in the sense of a critique against God’s </w:t>
      </w:r>
      <w:r w:rsidR="004A5BBF">
        <w:t>unrepentant</w:t>
      </w:r>
      <w:r w:rsidR="00AE4148">
        <w:t xml:space="preserve"> people</w:t>
      </w:r>
      <w:r w:rsidR="007F4855">
        <w:t xml:space="preserve"> cannot be denied especially with the presence of </w:t>
      </w:r>
      <w:r w:rsidR="00050A76">
        <w:t>19:</w:t>
      </w:r>
      <w:r w:rsidR="007F4855">
        <w:t xml:space="preserve">28: </w:t>
      </w:r>
      <w:r w:rsidR="00050A76">
        <w:t>“</w:t>
      </w:r>
      <w:r w:rsidR="007F4855">
        <w:t>Truly I tell you: when all things are renewed, when the Son of Man sits on his glorious throne, you who have followed me will also sit on the twelve thrones, judging the twelve tribes of Israel.</w:t>
      </w:r>
      <w:r w:rsidR="00050A76">
        <w:t>”</w:t>
      </w:r>
      <w:r w:rsidR="007F4855">
        <w:t xml:space="preserve"> </w:t>
      </w:r>
      <w:r w:rsidR="00724BE9">
        <w:t>In whatever manner</w:t>
      </w:r>
      <w:r w:rsidR="007F4855">
        <w:t xml:space="preserve"> this verse is to be taken, it </w:t>
      </w:r>
      <w:r w:rsidR="00B77EE0">
        <w:t xml:space="preserve">touches on the relationship between Israel and those who are responding to the proclamation of Jesus. </w:t>
      </w:r>
      <w:r w:rsidR="006623DA">
        <w:t xml:space="preserve">The repeated notes on the reversal of </w:t>
      </w:r>
      <w:r w:rsidR="00050A76">
        <w:t>“</w:t>
      </w:r>
      <w:r w:rsidR="006623DA">
        <w:t>the first</w:t>
      </w:r>
      <w:r w:rsidR="00050A76">
        <w:t>”</w:t>
      </w:r>
      <w:r w:rsidR="006623DA">
        <w:t xml:space="preserve"> and </w:t>
      </w:r>
      <w:r w:rsidR="00050A76">
        <w:t>“</w:t>
      </w:r>
      <w:r w:rsidR="006623DA">
        <w:t>the last</w:t>
      </w:r>
      <w:r w:rsidR="00050A76">
        <w:t>”</w:t>
      </w:r>
      <w:r w:rsidR="006623DA">
        <w:t xml:space="preserve"> in </w:t>
      </w:r>
      <w:r w:rsidR="00050A76">
        <w:t>19:</w:t>
      </w:r>
      <w:r w:rsidR="006623DA">
        <w:t xml:space="preserve">30 and </w:t>
      </w:r>
      <w:r w:rsidR="00050A76">
        <w:t>20:</w:t>
      </w:r>
      <w:r w:rsidR="00597A41">
        <w:t>16 provide</w:t>
      </w:r>
      <w:r w:rsidR="006623DA">
        <w:t xml:space="preserve"> further coherence to the various episodes in this section as God challenges </w:t>
      </w:r>
      <w:r w:rsidR="00845518">
        <w:t>his people not to re</w:t>
      </w:r>
      <w:r w:rsidR="006623DA">
        <w:t xml:space="preserve">ly on their assumed </w:t>
      </w:r>
      <w:r w:rsidR="00530BE5">
        <w:t xml:space="preserve">status before </w:t>
      </w:r>
      <w:r w:rsidR="00845518">
        <w:t>him</w:t>
      </w:r>
      <w:r w:rsidR="00530BE5">
        <w:t>.</w:t>
      </w:r>
      <w:r w:rsidR="00530BE5">
        <w:rPr>
          <w:rStyle w:val="FootnoteReference"/>
        </w:rPr>
        <w:footnoteReference w:id="63"/>
      </w:r>
    </w:p>
    <w:p w:rsidR="00AE4148" w:rsidRDefault="00AE4148" w:rsidP="006D063A">
      <w:pPr>
        <w:pStyle w:val="FootnoteText"/>
      </w:pPr>
      <w:r>
        <w:tab/>
      </w:r>
      <w:r w:rsidR="009E2F91">
        <w:t>While</w:t>
      </w:r>
      <w:r>
        <w:t xml:space="preserve"> a complete examination of </w:t>
      </w:r>
      <w:r w:rsidR="00050A76">
        <w:t>19:</w:t>
      </w:r>
      <w:r>
        <w:t>1-</w:t>
      </w:r>
      <w:r w:rsidR="00050A76">
        <w:t>20:</w:t>
      </w:r>
      <w:r>
        <w:t xml:space="preserve">16 will not be possible, these few observations are sufficient </w:t>
      </w:r>
      <w:r w:rsidR="00240C26">
        <w:t>to highlight</w:t>
      </w:r>
      <w:r>
        <w:t xml:space="preserve"> the overarching concern</w:t>
      </w:r>
      <w:r w:rsidR="00194CF2">
        <w:t>s</w:t>
      </w:r>
      <w:r>
        <w:t xml:space="preserve"> of this section. As God’s unfaithful partner continue</w:t>
      </w:r>
      <w:r w:rsidR="00601ACD">
        <w:t>s</w:t>
      </w:r>
      <w:r>
        <w:t xml:space="preserve"> to rebel against him, Jesus point</w:t>
      </w:r>
      <w:r w:rsidR="00845518">
        <w:t>s</w:t>
      </w:r>
      <w:r>
        <w:t xml:space="preserve"> forward to the </w:t>
      </w:r>
      <w:r w:rsidR="00BE51DE">
        <w:t>nature of</w:t>
      </w:r>
      <w:r>
        <w:t xml:space="preserve"> the renewed people of God. It is within this context that </w:t>
      </w:r>
      <w:r w:rsidR="00050A76">
        <w:t>19:</w:t>
      </w:r>
      <w:r>
        <w:t>1-12 plays a critical role as it serves as a warning against God’s unrepentant people: if they continue to be unfaithful to their God, their God has the right to sever his relationship with them. As in the prophet</w:t>
      </w:r>
      <w:r w:rsidR="00601ACD">
        <w:t>ic</w:t>
      </w:r>
      <w:r>
        <w:t xml:space="preserve"> traditions, however, this </w:t>
      </w:r>
      <w:r w:rsidR="00050A76">
        <w:t>“</w:t>
      </w:r>
      <w:r>
        <w:t>threat</w:t>
      </w:r>
      <w:r w:rsidR="00050A76">
        <w:t>”</w:t>
      </w:r>
      <w:r>
        <w:t xml:space="preserve"> aims not as a final indictment, but a call for God’s people to return (cf. </w:t>
      </w:r>
      <w:r w:rsidR="0049795B">
        <w:t>Jer</w:t>
      </w:r>
      <w:r>
        <w:t xml:space="preserve"> 4</w:t>
      </w:r>
      <w:r w:rsidR="00D32A5D">
        <w:t>:</w:t>
      </w:r>
      <w:r>
        <w:t>4).</w:t>
      </w:r>
    </w:p>
    <w:p w:rsidR="00AE4148" w:rsidRDefault="00AE4148" w:rsidP="006D063A">
      <w:pPr>
        <w:pStyle w:val="FootnoteText"/>
      </w:pPr>
    </w:p>
    <w:p w:rsidR="00AE4148" w:rsidRPr="00AE4148" w:rsidRDefault="00AE4148" w:rsidP="006D063A">
      <w:pPr>
        <w:pStyle w:val="FootnoteText"/>
        <w:rPr>
          <w:rFonts w:cs="Times New Roman"/>
          <w:i/>
        </w:rPr>
      </w:pPr>
      <w:r w:rsidRPr="00AE4148">
        <w:rPr>
          <w:i/>
        </w:rPr>
        <w:t xml:space="preserve">b. </w:t>
      </w:r>
      <w:r w:rsidRPr="00AE4148">
        <w:rPr>
          <w:i/>
        </w:rPr>
        <w:tab/>
        <w:t xml:space="preserve">Matthew </w:t>
      </w:r>
      <w:r w:rsidR="00754FF7">
        <w:rPr>
          <w:rFonts w:cs="Times New Roman"/>
          <w:i/>
        </w:rPr>
        <w:t>16</w:t>
      </w:r>
      <w:r w:rsidR="00D32A5D">
        <w:rPr>
          <w:rFonts w:cs="Times New Roman"/>
          <w:i/>
        </w:rPr>
        <w:t>:</w:t>
      </w:r>
      <w:r w:rsidR="00754FF7">
        <w:rPr>
          <w:rFonts w:cs="Times New Roman"/>
          <w:i/>
        </w:rPr>
        <w:t>21-18</w:t>
      </w:r>
      <w:r w:rsidR="00D32A5D">
        <w:rPr>
          <w:rFonts w:cs="Times New Roman"/>
          <w:i/>
        </w:rPr>
        <w:t>:</w:t>
      </w:r>
      <w:r w:rsidR="00754FF7">
        <w:rPr>
          <w:rFonts w:cs="Times New Roman"/>
          <w:i/>
        </w:rPr>
        <w:t xml:space="preserve">35; </w:t>
      </w:r>
      <w:r w:rsidR="00050A76">
        <w:rPr>
          <w:rFonts w:cs="Times New Roman"/>
          <w:i/>
        </w:rPr>
        <w:t>20:</w:t>
      </w:r>
      <w:r w:rsidR="00754FF7">
        <w:rPr>
          <w:rFonts w:cs="Times New Roman"/>
          <w:i/>
        </w:rPr>
        <w:t>17-23</w:t>
      </w:r>
      <w:r w:rsidR="00D32A5D">
        <w:rPr>
          <w:rFonts w:cs="Times New Roman"/>
          <w:i/>
        </w:rPr>
        <w:t>:</w:t>
      </w:r>
      <w:r w:rsidRPr="00AE4148">
        <w:rPr>
          <w:rFonts w:cs="Times New Roman"/>
          <w:i/>
        </w:rPr>
        <w:t>39</w:t>
      </w:r>
    </w:p>
    <w:p w:rsidR="00783ADF" w:rsidRDefault="00AE4148" w:rsidP="006D063A">
      <w:pPr>
        <w:pStyle w:val="FootnoteText"/>
      </w:pPr>
      <w:r>
        <w:tab/>
      </w:r>
      <w:r w:rsidR="00F60F79">
        <w:t xml:space="preserve">This reading of </w:t>
      </w:r>
      <w:r w:rsidR="00050A76">
        <w:t>19:</w:t>
      </w:r>
      <w:r w:rsidR="00F60F79">
        <w:t>1-</w:t>
      </w:r>
      <w:r w:rsidR="00050A76">
        <w:t>20:</w:t>
      </w:r>
      <w:r w:rsidR="00F60F79">
        <w:t>16</w:t>
      </w:r>
      <w:r w:rsidR="00783ADF">
        <w:t xml:space="preserve"> in general and </w:t>
      </w:r>
      <w:r w:rsidR="00050A76">
        <w:t>19:</w:t>
      </w:r>
      <w:r w:rsidR="00845518">
        <w:t>1-12 in particular</w:t>
      </w:r>
      <w:r w:rsidR="00F60F79">
        <w:t xml:space="preserve"> also fits well with</w:t>
      </w:r>
      <w:r w:rsidR="00845518">
        <w:t>in</w:t>
      </w:r>
      <w:r w:rsidR="00F60F79">
        <w:t xml:space="preserve"> </w:t>
      </w:r>
      <w:r w:rsidR="00BE51DE">
        <w:t>the wider context of Matthew’s G</w:t>
      </w:r>
      <w:r w:rsidR="00F60F79">
        <w:t xml:space="preserve">ospel. </w:t>
      </w:r>
      <w:r w:rsidR="00050A76">
        <w:t>19:</w:t>
      </w:r>
      <w:r w:rsidR="00783ADF">
        <w:t>1-</w:t>
      </w:r>
      <w:r w:rsidR="00050A76">
        <w:t>20:</w:t>
      </w:r>
      <w:r w:rsidR="0025722A">
        <w:t xml:space="preserve">16 is connected with its context through the travel note </w:t>
      </w:r>
      <w:r w:rsidR="00783ADF">
        <w:t>at the beginning of this section</w:t>
      </w:r>
      <w:r w:rsidR="0025722A">
        <w:t xml:space="preserve">: </w:t>
      </w:r>
    </w:p>
    <w:p w:rsidR="00783ADF" w:rsidRDefault="00783ADF" w:rsidP="006D063A">
      <w:pPr>
        <w:pStyle w:val="FootnoteText"/>
      </w:pPr>
    </w:p>
    <w:p w:rsidR="00783ADF" w:rsidRDefault="0025722A" w:rsidP="006D063A">
      <w:pPr>
        <w:pStyle w:val="FootnoteText"/>
        <w:ind w:left="720"/>
      </w:pPr>
      <w:r>
        <w:t xml:space="preserve">When Jesus finished these sayings, he left Galilee and went to the region of </w:t>
      </w:r>
      <w:r w:rsidR="00BE51DE">
        <w:t>Judea beyond the Jordan R</w:t>
      </w:r>
      <w:r w:rsidR="00783ADF">
        <w:t>iver. (</w:t>
      </w:r>
      <w:r w:rsidR="00050A76">
        <w:t>19:</w:t>
      </w:r>
      <w:r w:rsidR="00783ADF">
        <w:t>1)</w:t>
      </w:r>
    </w:p>
    <w:p w:rsidR="00783ADF" w:rsidRDefault="00783ADF" w:rsidP="006D063A">
      <w:pPr>
        <w:pStyle w:val="FootnoteText"/>
      </w:pPr>
    </w:p>
    <w:p w:rsidR="00783ADF" w:rsidRDefault="0025722A" w:rsidP="006D063A">
      <w:pPr>
        <w:pStyle w:val="FootnoteText"/>
      </w:pPr>
      <w:r>
        <w:t>This note situates this entire section within Jesu</w:t>
      </w:r>
      <w:r w:rsidR="00975272">
        <w:t>s’</w:t>
      </w:r>
      <w:r>
        <w:t xml:space="preserve"> journey to Jerusalem, and the purpose of this journey is stated </w:t>
      </w:r>
      <w:r w:rsidR="00783ADF">
        <w:t>in the verse that introduces the preceding section</w:t>
      </w:r>
      <w:r w:rsidR="00F92C72">
        <w:t xml:space="preserve"> (16</w:t>
      </w:r>
      <w:r w:rsidR="00D32A5D">
        <w:t>:</w:t>
      </w:r>
      <w:r w:rsidR="00F92C72">
        <w:t>21-18</w:t>
      </w:r>
      <w:r w:rsidR="00D32A5D">
        <w:t>:</w:t>
      </w:r>
      <w:r w:rsidR="00F92C72">
        <w:t>35)</w:t>
      </w:r>
      <w:r w:rsidR="00783ADF">
        <w:t>:</w:t>
      </w:r>
    </w:p>
    <w:p w:rsidR="00783ADF" w:rsidRDefault="00783ADF" w:rsidP="006D063A">
      <w:pPr>
        <w:pStyle w:val="FootnoteText"/>
      </w:pPr>
    </w:p>
    <w:p w:rsidR="00F92C72" w:rsidRDefault="00783ADF" w:rsidP="006D063A">
      <w:pPr>
        <w:pStyle w:val="FootnoteText"/>
        <w:ind w:left="720"/>
      </w:pPr>
      <w:r>
        <w:t>Fr</w:t>
      </w:r>
      <w:r w:rsidR="0025722A">
        <w:t xml:space="preserve">om that time on Jesus began to show his disciples that it is necessary for him to go to Jerusalem and suffer many things at the hands of the elders, </w:t>
      </w:r>
      <w:r w:rsidR="004A5BBF">
        <w:t>chief</w:t>
      </w:r>
      <w:r w:rsidR="0025722A">
        <w:t xml:space="preserve"> priests, and teachers of the law</w:t>
      </w:r>
      <w:r>
        <w:t>, and be killed, and on the third day be raised. (16</w:t>
      </w:r>
      <w:r w:rsidR="00D32A5D">
        <w:t>:</w:t>
      </w:r>
      <w:r>
        <w:t>21)</w:t>
      </w:r>
    </w:p>
    <w:p w:rsidR="00F92C72" w:rsidRDefault="00F92C72" w:rsidP="006D063A">
      <w:pPr>
        <w:pStyle w:val="FootnoteText"/>
        <w:ind w:left="720"/>
      </w:pPr>
    </w:p>
    <w:p w:rsidR="00F92C72" w:rsidRDefault="00F92C72" w:rsidP="006D063A">
      <w:pPr>
        <w:pStyle w:val="FootnoteText"/>
      </w:pPr>
      <w:r>
        <w:t>In light of this note, Jesu</w:t>
      </w:r>
      <w:r w:rsidR="00975272">
        <w:t>s’</w:t>
      </w:r>
      <w:r>
        <w:t xml:space="preserve"> travel note in </w:t>
      </w:r>
      <w:r w:rsidR="00050A76">
        <w:t>19:</w:t>
      </w:r>
      <w:r>
        <w:t>1 should not simply be taken as a geographical note, it aims at situating the entire section within Jesu</w:t>
      </w:r>
      <w:r w:rsidR="00975272">
        <w:t>s’</w:t>
      </w:r>
      <w:r>
        <w:t xml:space="preserve"> journey to suffer and be rejected by his own people.</w:t>
      </w:r>
    </w:p>
    <w:p w:rsidR="00F92C72" w:rsidRDefault="00F92C72" w:rsidP="006D063A">
      <w:pPr>
        <w:pStyle w:val="FootnoteText"/>
      </w:pPr>
      <w:r>
        <w:tab/>
        <w:t>At the beginning of the next section (</w:t>
      </w:r>
      <w:r w:rsidR="00050A76">
        <w:t>20:</w:t>
      </w:r>
      <w:r>
        <w:t>17-23</w:t>
      </w:r>
      <w:r w:rsidR="00D32A5D">
        <w:t>:</w:t>
      </w:r>
      <w:r>
        <w:t>39), one again finds a travel note that repeats the same theme of suffering and rejection:</w:t>
      </w:r>
    </w:p>
    <w:p w:rsidR="00F92C72" w:rsidRDefault="00F92C72" w:rsidP="006D063A">
      <w:pPr>
        <w:pStyle w:val="FootnoteText"/>
      </w:pPr>
    </w:p>
    <w:p w:rsidR="00754FF7" w:rsidRDefault="00F92C72" w:rsidP="006D063A">
      <w:pPr>
        <w:pStyle w:val="FootnoteText"/>
        <w:ind w:left="720"/>
      </w:pPr>
      <w:r>
        <w:t>As Jesus was going up to Jerusalem, he took the twelve disciples aside privatel</w:t>
      </w:r>
      <w:r w:rsidR="001F2FC1">
        <w:t xml:space="preserve">y and said to them on the way, </w:t>
      </w:r>
      <w:r w:rsidR="00050A76">
        <w:t>“</w:t>
      </w:r>
      <w:r>
        <w:t>We are going up to Jerusalem and the Son of Man will be handed over to the chief priests and the teachers of the law. They will condemn him to death.</w:t>
      </w:r>
      <w:r w:rsidR="00050A76">
        <w:t>”</w:t>
      </w:r>
      <w:r>
        <w:t xml:space="preserve"> (</w:t>
      </w:r>
      <w:r w:rsidR="00050A76">
        <w:t>20:</w:t>
      </w:r>
      <w:r>
        <w:t>17-18)</w:t>
      </w:r>
      <w:r>
        <w:tab/>
      </w:r>
    </w:p>
    <w:p w:rsidR="00754FF7" w:rsidRDefault="00754FF7" w:rsidP="006D063A">
      <w:pPr>
        <w:pStyle w:val="FootnoteText"/>
        <w:ind w:left="720"/>
      </w:pPr>
    </w:p>
    <w:p w:rsidR="00754FF7" w:rsidRDefault="00754FF7" w:rsidP="006D063A">
      <w:pPr>
        <w:pStyle w:val="FootnoteText"/>
      </w:pPr>
      <w:r>
        <w:t>Our present section is therefore located between two sections that are framed by references to Jesu</w:t>
      </w:r>
      <w:r w:rsidR="00975272">
        <w:t>s’</w:t>
      </w:r>
      <w:r>
        <w:t xml:space="preserve"> suffering and rejection. </w:t>
      </w:r>
    </w:p>
    <w:p w:rsidR="00507382" w:rsidRDefault="00754FF7" w:rsidP="006D063A">
      <w:pPr>
        <w:pStyle w:val="FootnoteText"/>
      </w:pPr>
      <w:r>
        <w:tab/>
        <w:t>In 16</w:t>
      </w:r>
      <w:r w:rsidR="00D32A5D">
        <w:t>:</w:t>
      </w:r>
      <w:r w:rsidR="00492465">
        <w:t>21-18</w:t>
      </w:r>
      <w:r w:rsidR="00D32A5D">
        <w:t>:</w:t>
      </w:r>
      <w:r w:rsidR="00492465">
        <w:t>35, the christological note on the suffering Messiah (16</w:t>
      </w:r>
      <w:r w:rsidR="00D32A5D">
        <w:t>:</w:t>
      </w:r>
      <w:r w:rsidR="00492465">
        <w:t>1-17</w:t>
      </w:r>
      <w:r w:rsidR="00D32A5D">
        <w:t>:</w:t>
      </w:r>
      <w:r w:rsidR="00492465">
        <w:t>20) provides the context for the ecclesiological discussion on</w:t>
      </w:r>
      <w:r w:rsidR="002A2325">
        <w:t xml:space="preserve"> the nature and behavior of God’s renewed community </w:t>
      </w:r>
      <w:r w:rsidR="00492465">
        <w:t>(17</w:t>
      </w:r>
      <w:r w:rsidR="00D32A5D">
        <w:t>:</w:t>
      </w:r>
      <w:r w:rsidR="00492465">
        <w:t>22-18</w:t>
      </w:r>
      <w:r w:rsidR="00D32A5D">
        <w:t>:</w:t>
      </w:r>
      <w:r w:rsidR="00492465">
        <w:t>35).</w:t>
      </w:r>
      <w:r w:rsidR="00194CF2">
        <w:t xml:space="preserve"> These twin emphases</w:t>
      </w:r>
      <w:r w:rsidR="002A2325">
        <w:t xml:space="preserve"> continue in </w:t>
      </w:r>
      <w:r w:rsidR="00050A76">
        <w:t>20:</w:t>
      </w:r>
      <w:r w:rsidR="002A2325">
        <w:t>17-23</w:t>
      </w:r>
      <w:r w:rsidR="00D32A5D">
        <w:t>:</w:t>
      </w:r>
      <w:r w:rsidR="002A2325">
        <w:t>39 where one finds the Messiah rejected by his people as he approaches and enters Jerusalem (</w:t>
      </w:r>
      <w:r w:rsidR="00050A76">
        <w:t>20:</w:t>
      </w:r>
      <w:r w:rsidR="002A2325">
        <w:t>17-21</w:t>
      </w:r>
      <w:r w:rsidR="00D32A5D">
        <w:t>:</w:t>
      </w:r>
      <w:r w:rsidR="002A2325">
        <w:t>22) followed by a lengthy series of controversy stories (21</w:t>
      </w:r>
      <w:r w:rsidR="00D32A5D">
        <w:t>:</w:t>
      </w:r>
      <w:r w:rsidR="002A2325">
        <w:t>23-22</w:t>
      </w:r>
      <w:r w:rsidR="00D32A5D">
        <w:t>:</w:t>
      </w:r>
      <w:r w:rsidR="00194CF2">
        <w:t>46) that climax</w:t>
      </w:r>
      <w:r w:rsidR="002A2325">
        <w:t xml:space="preserve"> in the woes against the Jewish leaders (23</w:t>
      </w:r>
      <w:r w:rsidR="00D32A5D">
        <w:t>:</w:t>
      </w:r>
      <w:r w:rsidR="002A2325">
        <w:t>1-39).</w:t>
      </w:r>
      <w:r w:rsidR="00FE5265">
        <w:t xml:space="preserve"> Framed by these two sections, it is only to be expected that </w:t>
      </w:r>
      <w:r w:rsidR="00050A76">
        <w:t>19:</w:t>
      </w:r>
      <w:r w:rsidR="00FE5265">
        <w:t>1-</w:t>
      </w:r>
      <w:r w:rsidR="00050A76">
        <w:t>20:</w:t>
      </w:r>
      <w:r w:rsidR="00FE5265">
        <w:t>16 likewise contain these two emphases</w:t>
      </w:r>
      <w:r w:rsidR="00EB1B68">
        <w:t xml:space="preserve">. The </w:t>
      </w:r>
      <w:r w:rsidR="00EB1B68" w:rsidRPr="008D2F99">
        <w:rPr>
          <w:i/>
        </w:rPr>
        <w:t>Haustafel</w:t>
      </w:r>
      <w:r w:rsidR="00EB1B68">
        <w:t xml:space="preserve"> structure highlights the ecclesiological significance of the various passages within this section, but the rejection motif is also present through the consistent application of the </w:t>
      </w:r>
      <w:r w:rsidR="004A5BBF">
        <w:t>reversal</w:t>
      </w:r>
      <w:r w:rsidR="00EB1B68">
        <w:t xml:space="preserve"> principle as explicitly </w:t>
      </w:r>
      <w:r w:rsidR="004A5BBF">
        <w:t>noted</w:t>
      </w:r>
      <w:r w:rsidR="00EB1B68">
        <w:t xml:space="preserve"> in </w:t>
      </w:r>
      <w:r w:rsidR="00050A76">
        <w:t>19:</w:t>
      </w:r>
      <w:r w:rsidR="00EB1B68">
        <w:t xml:space="preserve">30 and </w:t>
      </w:r>
      <w:r w:rsidR="00050A76">
        <w:t>20:</w:t>
      </w:r>
      <w:r w:rsidR="00EB1B68">
        <w:t>16. As both the previous and following sections begin with a note on Jesus being rejected by his own people, this section likewise begins with a section that reinforces this motif (</w:t>
      </w:r>
      <w:r w:rsidR="00050A76">
        <w:t>19:</w:t>
      </w:r>
      <w:r w:rsidR="00EB1B68">
        <w:t>1-12). In response to the hard-hearted people (</w:t>
      </w:r>
      <w:r w:rsidR="00050A76">
        <w:t>19:</w:t>
      </w:r>
      <w:r w:rsidR="00EB1B68">
        <w:t>8) who continue to test him (</w:t>
      </w:r>
      <w:r w:rsidR="00050A76">
        <w:t>19:</w:t>
      </w:r>
      <w:r w:rsidR="00EB1B68">
        <w:t>3), Jesus issue</w:t>
      </w:r>
      <w:r w:rsidR="00194CF2">
        <w:t>s</w:t>
      </w:r>
      <w:r w:rsidR="00EB1B68">
        <w:t xml:space="preserve"> a direct challenge that is embedded in the uniquely Matthean exception clause (</w:t>
      </w:r>
      <w:r w:rsidR="00050A76">
        <w:t>19:</w:t>
      </w:r>
      <w:r w:rsidR="00EB1B68">
        <w:t xml:space="preserve">9): as a husband cannot divorce his wife except for adultery, God would not </w:t>
      </w:r>
      <w:r w:rsidR="004A5BBF">
        <w:t>abandon</w:t>
      </w:r>
      <w:r w:rsidR="00EB1B68">
        <w:t xml:space="preserve"> his people unless they continue to be unfaithful to him. </w:t>
      </w:r>
      <w:r w:rsidR="00050A76">
        <w:t>19:</w:t>
      </w:r>
      <w:r w:rsidR="00EB1B68">
        <w:t>1-12 is therefore not simply an expansion of the legal discussion introduced in 5</w:t>
      </w:r>
      <w:r w:rsidR="00D32A5D">
        <w:t>:</w:t>
      </w:r>
      <w:r w:rsidR="00EB1B68">
        <w:t>31-32, it carries an additional force in this part of M</w:t>
      </w:r>
      <w:r w:rsidR="005514E4">
        <w:t>atthew’s G</w:t>
      </w:r>
      <w:r w:rsidR="00EB1B68">
        <w:t>ospel as Jesus travels to Jerusalem to be rejected by his own people.</w:t>
      </w:r>
      <w:r w:rsidR="00507382">
        <w:rPr>
          <w:rStyle w:val="FootnoteReference"/>
        </w:rPr>
        <w:footnoteReference w:id="64"/>
      </w:r>
      <w:r w:rsidR="00EB1B68">
        <w:t xml:space="preserve"> A legal discussion becomes an indictment and warning for God’s </w:t>
      </w:r>
      <w:r w:rsidR="004A5BBF">
        <w:t>unrepentant</w:t>
      </w:r>
      <w:r w:rsidR="00EB1B68">
        <w:t xml:space="preserve"> people.</w:t>
      </w:r>
    </w:p>
    <w:p w:rsidR="00507382" w:rsidRDefault="00507382" w:rsidP="006D063A">
      <w:pPr>
        <w:pStyle w:val="FootnoteText"/>
      </w:pPr>
    </w:p>
    <w:p w:rsidR="00507382" w:rsidRPr="006D063A" w:rsidRDefault="00744F29" w:rsidP="006D063A">
      <w:pPr>
        <w:pStyle w:val="FootnoteText"/>
        <w:rPr>
          <w:b/>
        </w:rPr>
      </w:pPr>
      <w:r w:rsidRPr="006D063A">
        <w:rPr>
          <w:b/>
        </w:rPr>
        <w:t xml:space="preserve">V. </w:t>
      </w:r>
      <w:r w:rsidRPr="006D063A">
        <w:rPr>
          <w:b/>
        </w:rPr>
        <w:tab/>
      </w:r>
      <w:r w:rsidR="00507382" w:rsidRPr="006D063A">
        <w:rPr>
          <w:b/>
        </w:rPr>
        <w:t>Conclusion</w:t>
      </w:r>
    </w:p>
    <w:p w:rsidR="005F11ED" w:rsidRPr="00050A76" w:rsidRDefault="004A5BBF" w:rsidP="006D063A">
      <w:pPr>
        <w:pStyle w:val="FootnoteText"/>
      </w:pPr>
      <w:r>
        <w:t xml:space="preserve">In light of the linguistic and thematic parallels between </w:t>
      </w:r>
      <w:r w:rsidR="00050A76">
        <w:t>Matt</w:t>
      </w:r>
      <w:r>
        <w:t xml:space="preserve"> </w:t>
      </w:r>
      <w:r w:rsidR="00050A76">
        <w:t>19:</w:t>
      </w:r>
      <w:r>
        <w:t xml:space="preserve">1-12 and the prophetic traditions, it is suggested that the uniquely Matthean exception clause in </w:t>
      </w:r>
      <w:r w:rsidR="00050A76">
        <w:t>19:</w:t>
      </w:r>
      <w:r>
        <w:t>9 should be understood as a warning of the possibility of God divorcing</w:t>
      </w:r>
      <w:r w:rsidR="000318A6">
        <w:t xml:space="preserve"> those among</w:t>
      </w:r>
      <w:r>
        <w:t xml:space="preserve"> his covenantal people who remain unfaithful to him.</w:t>
      </w:r>
      <w:r w:rsidR="00330560">
        <w:rPr>
          <w:rStyle w:val="FootnoteReference"/>
        </w:rPr>
        <w:footnoteReference w:id="65"/>
      </w:r>
      <w:r>
        <w:t xml:space="preserve"> </w:t>
      </w:r>
      <w:r w:rsidR="00030388">
        <w:t xml:space="preserve">This reading is confirmed by an examination of </w:t>
      </w:r>
      <w:r w:rsidR="00050A76">
        <w:t>Matt</w:t>
      </w:r>
      <w:r w:rsidR="00030388">
        <w:t xml:space="preserve"> </w:t>
      </w:r>
      <w:r w:rsidR="00050A76">
        <w:t>19:</w:t>
      </w:r>
      <w:r w:rsidR="00030388">
        <w:t>1-12 within its immediate and wider contexts in Matthew’s presentation of the story of Jesus. As in the prophet</w:t>
      </w:r>
      <w:r w:rsidR="00194CF2">
        <w:t>ic</w:t>
      </w:r>
      <w:r w:rsidR="00030388">
        <w:t xml:space="preserve"> traditions, however, this warn</w:t>
      </w:r>
      <w:r w:rsidR="00194CF2">
        <w:t>ing serves ultimately as a call for</w:t>
      </w:r>
      <w:r w:rsidR="00030388">
        <w:t xml:space="preserve"> God’s unfaithful people to repent. </w:t>
      </w:r>
      <w:r w:rsidR="00050A76">
        <w:t>Matt</w:t>
      </w:r>
      <w:r w:rsidR="00AA24CB">
        <w:t xml:space="preserve"> </w:t>
      </w:r>
      <w:r w:rsidR="00050A76">
        <w:t>19:</w:t>
      </w:r>
      <w:r w:rsidR="00AA24CB">
        <w:t xml:space="preserve">1-12 therefore does not </w:t>
      </w:r>
      <w:r w:rsidR="005514E4">
        <w:t xml:space="preserve">simply </w:t>
      </w:r>
      <w:r w:rsidR="00AA24CB">
        <w:t>provide yet another abstract di</w:t>
      </w:r>
      <w:r w:rsidR="00194CF2">
        <w:t>scussion of the details of the L</w:t>
      </w:r>
      <w:r w:rsidR="00AA24CB">
        <w:t>aw, i</w:t>
      </w:r>
      <w:r w:rsidR="00194CF2">
        <w:t>t becomes both an indictment against God’s unfaithful part</w:t>
      </w:r>
      <w:r w:rsidR="0048059C">
        <w:t>n</w:t>
      </w:r>
      <w:r w:rsidR="00194CF2">
        <w:t>er</w:t>
      </w:r>
      <w:r w:rsidR="00AA24CB">
        <w:t xml:space="preserve"> and a call to </w:t>
      </w:r>
      <w:r w:rsidR="00194CF2">
        <w:t>this partner</w:t>
      </w:r>
      <w:r w:rsidR="00AA24CB">
        <w:t xml:space="preserve"> to provide the proper response to </w:t>
      </w:r>
      <w:r w:rsidR="00194CF2">
        <w:t>God</w:t>
      </w:r>
      <w:r w:rsidR="00AA24CB">
        <w:t xml:space="preserve"> and his Messiah.</w:t>
      </w:r>
    </w:p>
    <w:sectPr w:rsidR="005F11ED" w:rsidRPr="00050A76" w:rsidSect="00312F32">
      <w:footerReference w:type="even" r:id="rId7"/>
      <w:footerReference w:type="default" r:id="rId8"/>
      <w:pgSz w:w="12240" w:h="15840"/>
      <w:pgMar w:top="1440" w:right="1800" w:bottom="1440" w:left="1800" w:gutter="0"/>
      <w:pgNumType w:start="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254" w:rsidRDefault="00912254">
      <w:r>
        <w:separator/>
      </w:r>
    </w:p>
  </w:endnote>
  <w:endnote w:type="continuationSeparator" w:id="0">
    <w:p w:rsidR="00912254" w:rsidRDefault="00912254">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新細明體">
    <w:altName w:val="新細明體"/>
    <w:charset w:val="51"/>
    <w:family w:val="auto"/>
    <w:pitch w:val="variable"/>
    <w:sig w:usb0="00000001" w:usb1="00000000" w:usb2="01000408" w:usb3="00000000" w:csb0="0010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254" w:rsidRDefault="007168D7" w:rsidP="00312F32">
    <w:pPr>
      <w:pStyle w:val="Footer"/>
      <w:framePr w:wrap="around" w:vAnchor="text" w:hAnchor="margin" w:xAlign="right" w:y="1"/>
      <w:rPr>
        <w:rStyle w:val="PageNumber"/>
      </w:rPr>
    </w:pPr>
    <w:r>
      <w:rPr>
        <w:rStyle w:val="PageNumber"/>
      </w:rPr>
      <w:fldChar w:fldCharType="begin"/>
    </w:r>
    <w:r w:rsidR="00912254">
      <w:rPr>
        <w:rStyle w:val="PageNumber"/>
      </w:rPr>
      <w:instrText xml:space="preserve">PAGE  </w:instrText>
    </w:r>
    <w:r>
      <w:rPr>
        <w:rStyle w:val="PageNumber"/>
      </w:rPr>
      <w:fldChar w:fldCharType="end"/>
    </w:r>
  </w:p>
  <w:p w:rsidR="00912254" w:rsidRDefault="00912254" w:rsidP="00C06FD7">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254" w:rsidRDefault="007168D7" w:rsidP="00312F32">
    <w:pPr>
      <w:pStyle w:val="Footer"/>
      <w:framePr w:wrap="around" w:vAnchor="text" w:hAnchor="margin" w:xAlign="right" w:y="1"/>
      <w:rPr>
        <w:rStyle w:val="PageNumber"/>
      </w:rPr>
    </w:pPr>
    <w:r>
      <w:rPr>
        <w:rStyle w:val="PageNumber"/>
      </w:rPr>
      <w:fldChar w:fldCharType="begin"/>
    </w:r>
    <w:r w:rsidR="00912254">
      <w:rPr>
        <w:rStyle w:val="PageNumber"/>
      </w:rPr>
      <w:instrText xml:space="preserve">PAGE  </w:instrText>
    </w:r>
    <w:r>
      <w:rPr>
        <w:rStyle w:val="PageNumber"/>
      </w:rPr>
      <w:fldChar w:fldCharType="separate"/>
    </w:r>
    <w:r w:rsidR="00DF69C7">
      <w:rPr>
        <w:rStyle w:val="PageNumber"/>
        <w:noProof/>
      </w:rPr>
      <w:t>2</w:t>
    </w:r>
    <w:r>
      <w:rPr>
        <w:rStyle w:val="PageNumber"/>
      </w:rPr>
      <w:fldChar w:fldCharType="end"/>
    </w:r>
  </w:p>
  <w:p w:rsidR="00912254" w:rsidRDefault="00912254" w:rsidP="00C06FD7">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254" w:rsidRDefault="00912254">
      <w:r>
        <w:separator/>
      </w:r>
    </w:p>
  </w:footnote>
  <w:footnote w:type="continuationSeparator" w:id="0">
    <w:p w:rsidR="00912254" w:rsidRDefault="00912254">
      <w:r>
        <w:continuationSeparator/>
      </w:r>
    </w:p>
  </w:footnote>
  <w:footnote w:id="1">
    <w:p w:rsidR="00912254" w:rsidRPr="00F74767" w:rsidRDefault="00912254" w:rsidP="00386180">
      <w:r w:rsidRPr="00F74767">
        <w:rPr>
          <w:rStyle w:val="FootnoteReference"/>
        </w:rPr>
        <w:footnoteRef/>
      </w:r>
      <w:r w:rsidRPr="00F74767">
        <w:t xml:space="preserve"> E.g. W. Stenger, “</w:t>
      </w:r>
      <w:r w:rsidRPr="00F74767">
        <w:rPr>
          <w:lang w:bidi="he-IL"/>
        </w:rPr>
        <w:t>Zur Rekonstruktion eines Jesusworts anhand der synoptischen Ehescheidungslogien (Mt 5,32; 19,9; Lk 10,11f [</w:t>
      </w:r>
      <w:r w:rsidRPr="00F74767">
        <w:rPr>
          <w:i/>
          <w:lang w:bidi="he-IL"/>
        </w:rPr>
        <w:t>sic</w:t>
      </w:r>
      <w:r w:rsidRPr="00F74767">
        <w:rPr>
          <w:lang w:bidi="he-IL"/>
        </w:rPr>
        <w:t xml:space="preserve">]; Mk 10,11f),” </w:t>
      </w:r>
      <w:r w:rsidRPr="00F74767">
        <w:rPr>
          <w:i/>
          <w:lang w:bidi="he-IL"/>
        </w:rPr>
        <w:t>Kairos</w:t>
      </w:r>
      <w:r w:rsidRPr="00F74767">
        <w:rPr>
          <w:lang w:bidi="he-IL"/>
        </w:rPr>
        <w:t xml:space="preserve"> 26 (1984</w:t>
      </w:r>
      <w:r>
        <w:rPr>
          <w:lang w:bidi="he-IL"/>
        </w:rPr>
        <w:t>) 194-205; H.</w:t>
      </w:r>
      <w:r w:rsidRPr="00F74767">
        <w:rPr>
          <w:lang w:bidi="he-IL"/>
        </w:rPr>
        <w:t xml:space="preserve"> Hübner, </w:t>
      </w:r>
      <w:r w:rsidRPr="00F74767">
        <w:rPr>
          <w:i/>
        </w:rPr>
        <w:t>Das Gesetz in der synoptischen Tradition</w:t>
      </w:r>
      <w:r w:rsidRPr="00F74767">
        <w:t xml:space="preserve"> (2</w:t>
      </w:r>
      <w:r w:rsidRPr="00F74767">
        <w:rPr>
          <w:vertAlign w:val="superscript"/>
        </w:rPr>
        <w:t>nd</w:t>
      </w:r>
      <w:r w:rsidRPr="00F74767">
        <w:t xml:space="preserve"> ed.; Göttingen: Vandenhoeck &amp; Ruprecht, 1986</w:t>
      </w:r>
      <w:r>
        <w:t>)</w:t>
      </w:r>
      <w:r w:rsidRPr="00F74767">
        <w:t xml:space="preserve"> 61-62.</w:t>
      </w:r>
    </w:p>
  </w:footnote>
  <w:footnote w:id="2">
    <w:p w:rsidR="00912254" w:rsidRPr="00F74767" w:rsidRDefault="00912254" w:rsidP="00386180">
      <w:pPr>
        <w:pStyle w:val="FootnoteText"/>
      </w:pPr>
      <w:r w:rsidRPr="00F74767">
        <w:rPr>
          <w:rStyle w:val="FootnoteReference"/>
        </w:rPr>
        <w:footnoteRef/>
      </w:r>
      <w:r>
        <w:t xml:space="preserve"> E.g. M.</w:t>
      </w:r>
      <w:r w:rsidRPr="00F74767">
        <w:t xml:space="preserve">D. Goulder, </w:t>
      </w:r>
      <w:r w:rsidRPr="00F74767">
        <w:rPr>
          <w:i/>
        </w:rPr>
        <w:t>Midrash and Lection in Matthew</w:t>
      </w:r>
      <w:r w:rsidRPr="00F74767">
        <w:t xml:space="preserve"> (London: SPCK, 1974</w:t>
      </w:r>
      <w:r>
        <w:t>)</w:t>
      </w:r>
      <w:r w:rsidRPr="00F74767">
        <w:t xml:space="preserve"> 290-</w:t>
      </w:r>
      <w:r>
        <w:t>2</w:t>
      </w:r>
      <w:r w:rsidRPr="00F74767">
        <w:t>91; D</w:t>
      </w:r>
      <w:r>
        <w:t>.</w:t>
      </w:r>
      <w:r w:rsidRPr="00F74767">
        <w:t xml:space="preserve"> Instone-Brewer, </w:t>
      </w:r>
      <w:r w:rsidRPr="00F74767">
        <w:rPr>
          <w:i/>
        </w:rPr>
        <w:t xml:space="preserve">Divorce and Remarriage in the Bible: The Social and Literary Context </w:t>
      </w:r>
      <w:r w:rsidRPr="00F74767">
        <w:t>(Grand Rapids: Eerdmans, 2002</w:t>
      </w:r>
      <w:r>
        <w:t>)</w:t>
      </w:r>
      <w:r w:rsidRPr="00F74767">
        <w:t xml:space="preserve"> 85-132. Increasing attention has also been directed to other Second-Temple Palestinian sources (e.g. J</w:t>
      </w:r>
      <w:r>
        <w:t>.</w:t>
      </w:r>
      <w:r w:rsidRPr="00F74767">
        <w:t>R. Mueller</w:t>
      </w:r>
      <w:r>
        <w:t>,</w:t>
      </w:r>
      <w:r w:rsidRPr="00F74767">
        <w:t xml:space="preserve"> </w:t>
      </w:r>
      <w:r>
        <w:t>“</w:t>
      </w:r>
      <w:r w:rsidRPr="00F74767">
        <w:t>The Temple Scroll and the Gospel Divorce Texts</w:t>
      </w:r>
      <w:r>
        <w:t>,”</w:t>
      </w:r>
      <w:r w:rsidRPr="00F74767">
        <w:t xml:space="preserve"> </w:t>
      </w:r>
      <w:r w:rsidRPr="00F74767">
        <w:rPr>
          <w:i/>
        </w:rPr>
        <w:t>RevQ</w:t>
      </w:r>
      <w:r>
        <w:t xml:space="preserve"> 10 [1980]</w:t>
      </w:r>
      <w:r w:rsidRPr="00F74767">
        <w:t xml:space="preserve"> 247-</w:t>
      </w:r>
      <w:r>
        <w:t>2</w:t>
      </w:r>
      <w:r w:rsidRPr="00F74767">
        <w:t>56; P</w:t>
      </w:r>
      <w:r>
        <w:t>.</w:t>
      </w:r>
      <w:r w:rsidRPr="00F74767">
        <w:t xml:space="preserve"> Sigal</w:t>
      </w:r>
      <w:r>
        <w:t>,</w:t>
      </w:r>
      <w:r w:rsidRPr="00F74767">
        <w:rPr>
          <w:i/>
        </w:rPr>
        <w:t xml:space="preserve"> The Halakah of Jesus of Nazareth According to the Gospel of Matthew</w:t>
      </w:r>
      <w:r>
        <w:t xml:space="preserve"> [Lanham, MD</w:t>
      </w:r>
      <w:r w:rsidRPr="00F74767">
        <w:t>: Un</w:t>
      </w:r>
      <w:r>
        <w:t>iversity Press of America 1986]</w:t>
      </w:r>
      <w:r w:rsidRPr="00F74767">
        <w:t xml:space="preserve"> 83-118; J</w:t>
      </w:r>
      <w:r>
        <w:t>.</w:t>
      </w:r>
      <w:r w:rsidRPr="00F74767">
        <w:t xml:space="preserve"> Kampen</w:t>
      </w:r>
      <w:r>
        <w:t>,</w:t>
      </w:r>
      <w:r w:rsidRPr="00F74767">
        <w:t xml:space="preserve"> “The Matthean Divorce Texts Re-examined,” </w:t>
      </w:r>
      <w:r>
        <w:rPr>
          <w:i/>
        </w:rPr>
        <w:t>New Qumran Texts and Studies</w:t>
      </w:r>
      <w:r w:rsidRPr="00F74767">
        <w:rPr>
          <w:i/>
        </w:rPr>
        <w:t>: Proceedings of the First Meeting of the International Organization for Qumran Studies, Paris 1992</w:t>
      </w:r>
      <w:r w:rsidRPr="00F74767">
        <w:t xml:space="preserve"> [ed. G</w:t>
      </w:r>
      <w:r>
        <w:t>.</w:t>
      </w:r>
      <w:r w:rsidRPr="00F74767">
        <w:t xml:space="preserve">J. Brooke and </w:t>
      </w:r>
      <w:r>
        <w:t>F.G. Martínez; STDJ</w:t>
      </w:r>
      <w:r w:rsidRPr="00F74767">
        <w:t xml:space="preserve"> 15; Leiden: Brill</w:t>
      </w:r>
      <w:r>
        <w:t>, 1994]</w:t>
      </w:r>
      <w:r w:rsidRPr="00F74767">
        <w:t xml:space="preserve"> 149-</w:t>
      </w:r>
      <w:r>
        <w:t>1</w:t>
      </w:r>
      <w:r w:rsidRPr="00F74767">
        <w:t>67).</w:t>
      </w:r>
    </w:p>
  </w:footnote>
  <w:footnote w:id="3">
    <w:p w:rsidR="00912254" w:rsidRPr="00F74767" w:rsidRDefault="00912254" w:rsidP="00386180">
      <w:pPr>
        <w:pStyle w:val="FootnoteText"/>
      </w:pPr>
      <w:r w:rsidRPr="00F74767">
        <w:rPr>
          <w:rStyle w:val="FootnoteReference"/>
        </w:rPr>
        <w:footnoteRef/>
      </w:r>
      <w:r>
        <w:t xml:space="preserve"> É. </w:t>
      </w:r>
      <w:r w:rsidRPr="00F74767">
        <w:t xml:space="preserve">Cuvillier, </w:t>
      </w:r>
      <w:r>
        <w:t>“</w:t>
      </w:r>
      <w:r w:rsidRPr="00F74767">
        <w:t>Torah Observance and Radicalization in the First Gospel. Matthew and First-Century Judaism: A Contribution to the Debate</w:t>
      </w:r>
      <w:r>
        <w:t>,”</w:t>
      </w:r>
      <w:r w:rsidRPr="00F74767">
        <w:t xml:space="preserve"> </w:t>
      </w:r>
      <w:r w:rsidRPr="00F74767">
        <w:rPr>
          <w:i/>
        </w:rPr>
        <w:t>NTS</w:t>
      </w:r>
      <w:r w:rsidRPr="00F74767">
        <w:t xml:space="preserve"> 55 (2009</w:t>
      </w:r>
      <w:r>
        <w:t>)</w:t>
      </w:r>
      <w:r w:rsidRPr="00F74767">
        <w:t xml:space="preserve"> 144-</w:t>
      </w:r>
      <w:r>
        <w:t>1</w:t>
      </w:r>
      <w:r w:rsidRPr="00F74767">
        <w:t>59; cf. J</w:t>
      </w:r>
      <w:r>
        <w:t>.</w:t>
      </w:r>
      <w:r w:rsidRPr="00F74767">
        <w:t xml:space="preserve">P. Meier, </w:t>
      </w:r>
      <w:r w:rsidRPr="00F74767">
        <w:rPr>
          <w:i/>
        </w:rPr>
        <w:t xml:space="preserve">Law and History in Matthew’s Gospel: A Redactional Study of Mt. 5:17-48 </w:t>
      </w:r>
      <w:r>
        <w:t>(AnBib</w:t>
      </w:r>
      <w:r w:rsidRPr="00F74767">
        <w:t xml:space="preserve"> 71; Rome: Biblical Institute Press, 1976</w:t>
      </w:r>
      <w:r>
        <w:t>)</w:t>
      </w:r>
      <w:r w:rsidRPr="00F74767">
        <w:t xml:space="preserve"> 41-56.</w:t>
      </w:r>
    </w:p>
  </w:footnote>
  <w:footnote w:id="4">
    <w:p w:rsidR="00912254" w:rsidRPr="00F74767" w:rsidRDefault="00912254" w:rsidP="00386180">
      <w:pPr>
        <w:pStyle w:val="FootnoteText"/>
      </w:pPr>
      <w:r w:rsidRPr="00F74767">
        <w:rPr>
          <w:rStyle w:val="FootnoteReference"/>
        </w:rPr>
        <w:footnoteRef/>
      </w:r>
      <w:r w:rsidRPr="00F74767">
        <w:t xml:space="preserve"> G</w:t>
      </w:r>
      <w:r>
        <w:t xml:space="preserve">. </w:t>
      </w:r>
      <w:r w:rsidRPr="00F74767">
        <w:t xml:space="preserve">Barth, </w:t>
      </w:r>
      <w:r>
        <w:t>“</w:t>
      </w:r>
      <w:r w:rsidRPr="00F74767">
        <w:t>Matthew’s Understanding of the Law</w:t>
      </w:r>
      <w:r>
        <w:t>,”</w:t>
      </w:r>
      <w:r w:rsidRPr="00F74767">
        <w:t xml:space="preserve"> in G</w:t>
      </w:r>
      <w:r>
        <w:t>.</w:t>
      </w:r>
      <w:r w:rsidRPr="00F74767">
        <w:t xml:space="preserve"> Bornkamm, G</w:t>
      </w:r>
      <w:r>
        <w:t>.</w:t>
      </w:r>
      <w:r w:rsidRPr="00F74767">
        <w:t xml:space="preserve"> Barth, and </w:t>
      </w:r>
      <w:r>
        <w:t>H.J.</w:t>
      </w:r>
      <w:r w:rsidRPr="00F74767">
        <w:t xml:space="preserve"> Held, </w:t>
      </w:r>
      <w:r w:rsidRPr="00F74767">
        <w:rPr>
          <w:i/>
        </w:rPr>
        <w:t>Tradition and Interpretation in Matthew</w:t>
      </w:r>
      <w:r w:rsidRPr="00F74767">
        <w:t xml:space="preserve"> (trans. P</w:t>
      </w:r>
      <w:r>
        <w:t>.</w:t>
      </w:r>
      <w:r w:rsidRPr="00F74767">
        <w:t xml:space="preserve"> Scott; Philadelphia: Fortress, 1963</w:t>
      </w:r>
      <w:r>
        <w:t>)</w:t>
      </w:r>
      <w:r w:rsidRPr="00F74767">
        <w:t xml:space="preserve"> 58-164; cf. D</w:t>
      </w:r>
      <w:r>
        <w:t>.</w:t>
      </w:r>
      <w:r w:rsidRPr="00F74767">
        <w:t xml:space="preserve">T. Smith, </w:t>
      </w:r>
      <w:r>
        <w:t>“</w:t>
      </w:r>
      <w:r w:rsidRPr="00F74767">
        <w:t>The Matthean Exception Clauses in the Light of Matthew’s Theology and Community</w:t>
      </w:r>
      <w:r>
        <w:t>,”</w:t>
      </w:r>
      <w:r w:rsidRPr="00F74767">
        <w:t xml:space="preserve"> </w:t>
      </w:r>
      <w:r w:rsidRPr="00F74767">
        <w:rPr>
          <w:i/>
        </w:rPr>
        <w:t>Studia Biblica et Theologica</w:t>
      </w:r>
      <w:r w:rsidRPr="00F74767">
        <w:t xml:space="preserve"> 17 (1989</w:t>
      </w:r>
      <w:r>
        <w:t>)</w:t>
      </w:r>
      <w:r w:rsidRPr="00F74767">
        <w:t xml:space="preserve"> 55-82.</w:t>
      </w:r>
    </w:p>
  </w:footnote>
  <w:footnote w:id="5">
    <w:p w:rsidR="00912254" w:rsidRPr="00F74767" w:rsidRDefault="00912254" w:rsidP="00386180">
      <w:pPr>
        <w:pStyle w:val="FootnoteText"/>
      </w:pPr>
      <w:r w:rsidRPr="00F74767">
        <w:rPr>
          <w:rStyle w:val="FootnoteReference"/>
        </w:rPr>
        <w:footnoteRef/>
      </w:r>
      <w:r w:rsidRPr="00F74767">
        <w:t xml:space="preserve"> D</w:t>
      </w:r>
      <w:r>
        <w:t>.</w:t>
      </w:r>
      <w:r w:rsidRPr="00F74767">
        <w:t xml:space="preserve">W. Trautman, </w:t>
      </w:r>
      <w:r w:rsidRPr="00F74767">
        <w:rPr>
          <w:i/>
        </w:rPr>
        <w:t>The Eunuch Logion of Matthew 19,12: Historical and Exegetical Dimensions as Related to Celibacy</w:t>
      </w:r>
      <w:r w:rsidRPr="00F74767">
        <w:t xml:space="preserve"> (Rome: Catholic Book Agency, 1966); J</w:t>
      </w:r>
      <w:r>
        <w:t>.</w:t>
      </w:r>
      <w:r w:rsidRPr="00F74767">
        <w:t xml:space="preserve"> Kodell, </w:t>
      </w:r>
      <w:r>
        <w:t>“</w:t>
      </w:r>
      <w:r w:rsidRPr="00F74767">
        <w:t>The Celibacy Logion in Matthew 19:12</w:t>
      </w:r>
      <w:r>
        <w:t>,”</w:t>
      </w:r>
      <w:r w:rsidRPr="00F74767">
        <w:t xml:space="preserve"> </w:t>
      </w:r>
      <w:r w:rsidRPr="00F74767">
        <w:rPr>
          <w:i/>
        </w:rPr>
        <w:t>BTB</w:t>
      </w:r>
      <w:r w:rsidRPr="00F74767">
        <w:t xml:space="preserve"> 8 (1978</w:t>
      </w:r>
      <w:r>
        <w:t>)</w:t>
      </w:r>
      <w:r w:rsidRPr="00F74767">
        <w:t xml:space="preserve"> 19-23.</w:t>
      </w:r>
    </w:p>
  </w:footnote>
  <w:footnote w:id="6">
    <w:p w:rsidR="00912254" w:rsidRPr="00F74767" w:rsidRDefault="00912254" w:rsidP="00386180">
      <w:pPr>
        <w:pStyle w:val="FootnoteText"/>
      </w:pPr>
      <w:r w:rsidRPr="00F74767">
        <w:rPr>
          <w:rStyle w:val="FootnoteReference"/>
        </w:rPr>
        <w:footnoteRef/>
      </w:r>
      <w:r w:rsidRPr="00F74767">
        <w:t xml:space="preserve"> F</w:t>
      </w:r>
      <w:r>
        <w:t>.</w:t>
      </w:r>
      <w:r w:rsidRPr="00F74767">
        <w:t xml:space="preserve">J. Moloney, </w:t>
      </w:r>
      <w:r>
        <w:t>“</w:t>
      </w:r>
      <w:r w:rsidRPr="00F74767">
        <w:t>Matthew 19:3-12 and Celibacy: A Redactional and Form Critical Study</w:t>
      </w:r>
      <w:r>
        <w:t>,”</w:t>
      </w:r>
      <w:r w:rsidRPr="00F74767">
        <w:t xml:space="preserve"> </w:t>
      </w:r>
      <w:r w:rsidRPr="00F74767">
        <w:rPr>
          <w:i/>
        </w:rPr>
        <w:t>JSNT</w:t>
      </w:r>
      <w:r w:rsidRPr="00F74767">
        <w:t xml:space="preserve"> 2 (1979</w:t>
      </w:r>
      <w:r>
        <w:t>)</w:t>
      </w:r>
      <w:r w:rsidRPr="00F74767">
        <w:t xml:space="preserve"> 42-60. Some even consider the Matthean Jesus as rejecting the family (e.g. A</w:t>
      </w:r>
      <w:r>
        <w:t>.</w:t>
      </w:r>
      <w:r w:rsidRPr="00F74767">
        <w:t xml:space="preserve">J. Dewey </w:t>
      </w:r>
      <w:r>
        <w:t>“</w:t>
      </w:r>
      <w:r w:rsidRPr="00F74767">
        <w:t>The Unkindest Cut of All?</w:t>
      </w:r>
      <w:r>
        <w:t>”</w:t>
      </w:r>
      <w:r w:rsidRPr="00F74767">
        <w:t xml:space="preserve"> </w:t>
      </w:r>
      <w:r w:rsidRPr="00F74767">
        <w:rPr>
          <w:i/>
        </w:rPr>
        <w:t>Forum</w:t>
      </w:r>
      <w:r>
        <w:t xml:space="preserve"> 8 [1992]</w:t>
      </w:r>
      <w:r w:rsidRPr="00F74767">
        <w:t xml:space="preserve"> 113-</w:t>
      </w:r>
      <w:r>
        <w:t>1</w:t>
      </w:r>
      <w:r w:rsidRPr="00F74767">
        <w:t>22).</w:t>
      </w:r>
    </w:p>
  </w:footnote>
  <w:footnote w:id="7">
    <w:p w:rsidR="00912254" w:rsidRPr="00F74767" w:rsidRDefault="00912254" w:rsidP="00386180">
      <w:pPr>
        <w:pStyle w:val="FootnoteText"/>
      </w:pPr>
      <w:r w:rsidRPr="00F74767">
        <w:rPr>
          <w:rStyle w:val="FootnoteReference"/>
        </w:rPr>
        <w:footnoteRef/>
      </w:r>
      <w:r w:rsidRPr="00F74767">
        <w:t xml:space="preserve"> C</w:t>
      </w:r>
      <w:r>
        <w:t xml:space="preserve">. </w:t>
      </w:r>
      <w:r w:rsidRPr="00F74767">
        <w:t xml:space="preserve">Bernabé, </w:t>
      </w:r>
      <w:r>
        <w:t>“</w:t>
      </w:r>
      <w:r w:rsidRPr="00F74767">
        <w:t>Of Eunuchs and Predators: Matthew 19:1-12 in a Cultural Context</w:t>
      </w:r>
      <w:r>
        <w:t>,”</w:t>
      </w:r>
      <w:r w:rsidRPr="00F74767">
        <w:t xml:space="preserve"> </w:t>
      </w:r>
      <w:r w:rsidRPr="00F74767">
        <w:rPr>
          <w:i/>
        </w:rPr>
        <w:t>BTB</w:t>
      </w:r>
      <w:r w:rsidRPr="00F74767">
        <w:t xml:space="preserve"> 33 (2003</w:t>
      </w:r>
      <w:r>
        <w:t>)</w:t>
      </w:r>
      <w:r w:rsidRPr="00F74767">
        <w:t xml:space="preserve"> 128-</w:t>
      </w:r>
      <w:r>
        <w:t>1</w:t>
      </w:r>
      <w:r w:rsidRPr="00F74767">
        <w:t>34; cf. J</w:t>
      </w:r>
      <w:r>
        <w:t>.</w:t>
      </w:r>
      <w:r w:rsidRPr="00F74767">
        <w:t xml:space="preserve">H. Neyrey, </w:t>
      </w:r>
      <w:r w:rsidRPr="00F74767">
        <w:rPr>
          <w:i/>
        </w:rPr>
        <w:t>Honor and Shame in the Gospel of Matthew</w:t>
      </w:r>
      <w:r>
        <w:t xml:space="preserve"> (Louisville, KY</w:t>
      </w:r>
      <w:r w:rsidRPr="00F74767">
        <w:t>: Westminster, 1998</w:t>
      </w:r>
      <w:r>
        <w:t>)</w:t>
      </w:r>
      <w:r w:rsidRPr="00F74767">
        <w:t xml:space="preserve"> 201; </w:t>
      </w:r>
      <w:r>
        <w:t>L.J.</w:t>
      </w:r>
      <w:r w:rsidRPr="00F74767">
        <w:t xml:space="preserve"> Lawrence, </w:t>
      </w:r>
      <w:r w:rsidRPr="00F74767">
        <w:rPr>
          <w:i/>
        </w:rPr>
        <w:t>An Ethnography of the Gospel of Matthew</w:t>
      </w:r>
      <w:r w:rsidRPr="00F74767">
        <w:t xml:space="preserve"> (WUNT 2.165; Tübingen: Mohr Siebeck, 2003</w:t>
      </w:r>
      <w:r>
        <w:t>)</w:t>
      </w:r>
      <w:r w:rsidRPr="00F74767">
        <w:t xml:space="preserve"> 275-</w:t>
      </w:r>
      <w:r>
        <w:t>2</w:t>
      </w:r>
      <w:r w:rsidRPr="00F74767">
        <w:t>76. There are also those who consider Jesus using the eunuch-symbol to challenge conceptions of the male-dominated household (e.g. R</w:t>
      </w:r>
      <w:r>
        <w:t xml:space="preserve">. </w:t>
      </w:r>
      <w:r w:rsidRPr="00F74767">
        <w:t>Talbott</w:t>
      </w:r>
      <w:r>
        <w:t>,</w:t>
      </w:r>
      <w:r w:rsidRPr="00F74767">
        <w:t xml:space="preserve"> </w:t>
      </w:r>
      <w:r>
        <w:t>“</w:t>
      </w:r>
      <w:r w:rsidRPr="00F74767">
        <w:t>Imagining the Matthean Eunuch Community: Kyriarchy on the Chopping Block</w:t>
      </w:r>
      <w:r>
        <w:t>,”</w:t>
      </w:r>
      <w:r w:rsidRPr="00F74767">
        <w:t xml:space="preserve"> </w:t>
      </w:r>
      <w:r w:rsidRPr="00F74767">
        <w:rPr>
          <w:i/>
        </w:rPr>
        <w:t>JFSR</w:t>
      </w:r>
      <w:r>
        <w:t xml:space="preserve"> 22 [2006]</w:t>
      </w:r>
      <w:r w:rsidRPr="00F74767">
        <w:t xml:space="preserve"> 21-43) or even traditional sexual identities and boundaries (e.g. J.</w:t>
      </w:r>
      <w:r>
        <w:t>D.</w:t>
      </w:r>
      <w:r w:rsidRPr="00F74767">
        <w:t xml:space="preserve"> Hester</w:t>
      </w:r>
      <w:r>
        <w:t>,</w:t>
      </w:r>
      <w:r w:rsidRPr="00F74767">
        <w:t xml:space="preserve"> </w:t>
      </w:r>
      <w:r>
        <w:t>“</w:t>
      </w:r>
      <w:r w:rsidRPr="00F74767">
        <w:t xml:space="preserve">Eunuchs and the Postgender Jesus: Matthew </w:t>
      </w:r>
      <w:r>
        <w:t>19:</w:t>
      </w:r>
      <w:r w:rsidRPr="00F74767">
        <w:t>12 and Transgressive Sexualities</w:t>
      </w:r>
      <w:r>
        <w:t>,”</w:t>
      </w:r>
      <w:r w:rsidRPr="00F74767">
        <w:t xml:space="preserve"> </w:t>
      </w:r>
      <w:r w:rsidRPr="00F74767">
        <w:rPr>
          <w:i/>
        </w:rPr>
        <w:t>JSNT</w:t>
      </w:r>
      <w:r>
        <w:t xml:space="preserve"> 28 [2005]</w:t>
      </w:r>
      <w:r w:rsidRPr="00F74767">
        <w:t xml:space="preserve"> 13-40).</w:t>
      </w:r>
    </w:p>
  </w:footnote>
  <w:footnote w:id="8">
    <w:p w:rsidR="00912254" w:rsidRPr="00F74767" w:rsidRDefault="00912254" w:rsidP="00386180">
      <w:pPr>
        <w:pStyle w:val="FootnoteText"/>
      </w:pPr>
      <w:r w:rsidRPr="00F74767">
        <w:rPr>
          <w:rStyle w:val="FootnoteReference"/>
        </w:rPr>
        <w:footnoteRef/>
      </w:r>
      <w:r w:rsidRPr="00F74767">
        <w:t xml:space="preserve"> E.g. D</w:t>
      </w:r>
      <w:r>
        <w:t>.</w:t>
      </w:r>
      <w:r w:rsidRPr="00F74767">
        <w:t xml:space="preserve">R. Catchpole, </w:t>
      </w:r>
      <w:r>
        <w:t>“</w:t>
      </w:r>
      <w:r w:rsidRPr="00F74767">
        <w:t>The Synoptic Divorce Material as a Traditio-Historical Problem</w:t>
      </w:r>
      <w:r>
        <w:t>,”</w:t>
      </w:r>
      <w:r w:rsidRPr="00F74767">
        <w:t xml:space="preserve"> </w:t>
      </w:r>
      <w:r w:rsidRPr="00F74767">
        <w:rPr>
          <w:i/>
        </w:rPr>
        <w:t>BJRL</w:t>
      </w:r>
      <w:r w:rsidRPr="00F74767">
        <w:t xml:space="preserve"> 57 (1974</w:t>
      </w:r>
      <w:r>
        <w:t>)</w:t>
      </w:r>
      <w:r w:rsidRPr="00F74767">
        <w:t xml:space="preserve"> 92-127; R</w:t>
      </w:r>
      <w:r>
        <w:t>.</w:t>
      </w:r>
      <w:r w:rsidRPr="00F74767">
        <w:t xml:space="preserve">A. Guelich, </w:t>
      </w:r>
      <w:r w:rsidRPr="00F74767">
        <w:rPr>
          <w:i/>
        </w:rPr>
        <w:t>The Sermon on the Mount: A Foundation for Understanding</w:t>
      </w:r>
      <w:r>
        <w:t xml:space="preserve"> (Waco, Tex.</w:t>
      </w:r>
      <w:r w:rsidRPr="00F74767">
        <w:t>: Word, 1982</w:t>
      </w:r>
      <w:r>
        <w:t>) 200; J.D.</w:t>
      </w:r>
      <w:r w:rsidRPr="00F74767">
        <w:t xml:space="preserve">G. Dunn, </w:t>
      </w:r>
      <w:r>
        <w:t>“</w:t>
      </w:r>
      <w:r w:rsidRPr="00F74767">
        <w:t>How Did Matthew Go About Composing His Gospel</w:t>
      </w:r>
      <w:r>
        <w:t>,”</w:t>
      </w:r>
      <w:r w:rsidRPr="00F74767">
        <w:t xml:space="preserve"> in </w:t>
      </w:r>
      <w:r w:rsidRPr="00F74767">
        <w:rPr>
          <w:i/>
        </w:rPr>
        <w:t>Jesus, Matthew’s Gospel and Early Christianity: Studies in Memory of Graham N. Stanton</w:t>
      </w:r>
      <w:r w:rsidRPr="00F74767">
        <w:t xml:space="preserve"> (ed. D</w:t>
      </w:r>
      <w:r>
        <w:t>.M. Gurtner, J.</w:t>
      </w:r>
      <w:r w:rsidRPr="00F74767">
        <w:t xml:space="preserve"> Willitts</w:t>
      </w:r>
      <w:r>
        <w:t xml:space="preserve"> and R.A. Burridge; LNTS</w:t>
      </w:r>
      <w:r w:rsidRPr="00F74767">
        <w:t xml:space="preserve"> 435; London/New York: T&amp;T Clark</w:t>
      </w:r>
      <w:r>
        <w:t>)</w:t>
      </w:r>
      <w:r w:rsidRPr="00F74767">
        <w:t xml:space="preserve"> 47.</w:t>
      </w:r>
    </w:p>
  </w:footnote>
  <w:footnote w:id="9">
    <w:p w:rsidR="00912254" w:rsidRPr="00F74767" w:rsidRDefault="00912254" w:rsidP="00386180">
      <w:pPr>
        <w:pStyle w:val="FootnoteText"/>
      </w:pPr>
      <w:r w:rsidRPr="00F74767">
        <w:rPr>
          <w:rStyle w:val="FootnoteReference"/>
        </w:rPr>
        <w:footnoteRef/>
      </w:r>
      <w:r w:rsidRPr="00F74767">
        <w:t xml:space="preserve"> </w:t>
      </w:r>
      <w:r>
        <w:t>H.D.</w:t>
      </w:r>
      <w:r w:rsidRPr="00F74767">
        <w:t xml:space="preserve"> Betz, </w:t>
      </w:r>
      <w:r w:rsidRPr="00F74767">
        <w:rPr>
          <w:i/>
        </w:rPr>
        <w:t>The Sermon on the Mount</w:t>
      </w:r>
      <w:r w:rsidRPr="00F74767">
        <w:t xml:space="preserve"> (Hermeneia; Minneapolis: Fortress, 1995</w:t>
      </w:r>
      <w:r>
        <w:t>)</w:t>
      </w:r>
      <w:r w:rsidRPr="00F74767">
        <w:t xml:space="preserve"> 249.</w:t>
      </w:r>
    </w:p>
  </w:footnote>
  <w:footnote w:id="10">
    <w:p w:rsidR="00912254" w:rsidRPr="00F74767" w:rsidRDefault="00912254" w:rsidP="00386180">
      <w:pPr>
        <w:pStyle w:val="FootnoteText"/>
      </w:pPr>
      <w:r w:rsidRPr="00F74767">
        <w:rPr>
          <w:rStyle w:val="FootnoteReference"/>
        </w:rPr>
        <w:footnoteRef/>
      </w:r>
      <w:r w:rsidRPr="00F74767">
        <w:t xml:space="preserve"> D</w:t>
      </w:r>
      <w:r>
        <w:t>.</w:t>
      </w:r>
      <w:r w:rsidRPr="00F74767">
        <w:t xml:space="preserve"> Warden, </w:t>
      </w:r>
      <w:r>
        <w:t>“</w:t>
      </w:r>
      <w:r w:rsidRPr="00F74767">
        <w:t>The Word of Jesus on Divorce</w:t>
      </w:r>
      <w:r>
        <w:t>,”</w:t>
      </w:r>
      <w:r w:rsidRPr="00F74767">
        <w:t xml:space="preserve"> </w:t>
      </w:r>
      <w:r w:rsidRPr="00F74767">
        <w:rPr>
          <w:i/>
        </w:rPr>
        <w:t>ResQ</w:t>
      </w:r>
      <w:r w:rsidRPr="00F74767">
        <w:t xml:space="preserve"> 39 (1997</w:t>
      </w:r>
      <w:r>
        <w:t>)</w:t>
      </w:r>
      <w:r w:rsidRPr="00F74767">
        <w:t xml:space="preserve"> 141-</w:t>
      </w:r>
      <w:r>
        <w:t>1</w:t>
      </w:r>
      <w:r w:rsidRPr="00F74767">
        <w:t>53.</w:t>
      </w:r>
    </w:p>
  </w:footnote>
  <w:footnote w:id="11">
    <w:p w:rsidR="00912254" w:rsidRPr="00F74767" w:rsidRDefault="00912254" w:rsidP="00386180">
      <w:pPr>
        <w:pStyle w:val="FootnoteText"/>
        <w:rPr>
          <w:lang w:eastAsia="zh-TW"/>
        </w:rPr>
      </w:pPr>
      <w:r w:rsidRPr="00F74767">
        <w:rPr>
          <w:rStyle w:val="FootnoteReference"/>
        </w:rPr>
        <w:footnoteRef/>
      </w:r>
      <w:r w:rsidRPr="00F74767">
        <w:t xml:space="preserve"> For a recent challenge to this majority reading, see A</w:t>
      </w:r>
      <w:r>
        <w:t>.</w:t>
      </w:r>
      <w:r w:rsidRPr="00F74767">
        <w:t>R. Guenther (</w:t>
      </w:r>
      <w:r>
        <w:t>“</w:t>
      </w:r>
      <w:r w:rsidRPr="00F74767">
        <w:t>The Exception Phrases: Except</w:t>
      </w:r>
      <w:r>
        <w:t xml:space="preserve"> πορνεία</w:t>
      </w:r>
      <w:r w:rsidRPr="00F74767">
        <w:t xml:space="preserve">, Including </w:t>
      </w:r>
      <w:r>
        <w:t>πορνεία</w:t>
      </w:r>
      <w:r w:rsidRPr="00F74767">
        <w:t xml:space="preserve">, or Excluding </w:t>
      </w:r>
      <w:r>
        <w:t>πορνεία</w:t>
      </w:r>
      <w:r w:rsidRPr="00F74767">
        <w:t xml:space="preserve">? [Matthew 5:32; 19:9],” </w:t>
      </w:r>
      <w:r w:rsidRPr="00F74767">
        <w:rPr>
          <w:i/>
        </w:rPr>
        <w:t>TynBul</w:t>
      </w:r>
      <w:r>
        <w:t xml:space="preserve"> 53 [2002]</w:t>
      </w:r>
      <w:r w:rsidRPr="00F74767">
        <w:t xml:space="preserve"> 83-96) who argues that while</w:t>
      </w:r>
      <w:r>
        <w:t xml:space="preserve"> παρεκτός</w:t>
      </w:r>
      <w:r w:rsidRPr="00F74767">
        <w:t xml:space="preserve"> </w:t>
      </w:r>
      <w:r>
        <w:rPr>
          <w:rFonts w:cs="Times New Roman"/>
        </w:rPr>
        <w:t>in 5:</w:t>
      </w:r>
      <w:r w:rsidRPr="00F74767">
        <w:rPr>
          <w:rFonts w:cs="Times New Roman"/>
        </w:rPr>
        <w:t xml:space="preserve">32 </w:t>
      </w:r>
      <w:r w:rsidRPr="00F74767">
        <w:t>does carry an exceptive force (</w:t>
      </w:r>
      <w:r>
        <w:t>“</w:t>
      </w:r>
      <w:r w:rsidRPr="00F74767">
        <w:t>except</w:t>
      </w:r>
      <w:r>
        <w:t>”</w:t>
      </w:r>
      <w:r w:rsidRPr="00F74767">
        <w:t xml:space="preserve">), </w:t>
      </w:r>
      <w:r>
        <w:t>μ</w:t>
      </w:r>
      <w:r>
        <w:rPr>
          <w:rFonts w:ascii="Times New Roman" w:hAnsi="Times New Roman" w:cs="Times New Roman"/>
        </w:rPr>
        <w:t>ὴ ἐπί</w:t>
      </w:r>
      <w:r w:rsidRPr="008423F0">
        <w:rPr>
          <w:rFonts w:cs="Times New Roman"/>
        </w:rPr>
        <w:t xml:space="preserve"> </w:t>
      </w:r>
      <w:r w:rsidRPr="00F74767">
        <w:rPr>
          <w:rFonts w:cs="Times New Roman"/>
        </w:rPr>
        <w:t xml:space="preserve">by itself in </w:t>
      </w:r>
      <w:r>
        <w:rPr>
          <w:rFonts w:cs="Times New Roman"/>
        </w:rPr>
        <w:t>19:</w:t>
      </w:r>
      <w:r w:rsidRPr="00F74767">
        <w:rPr>
          <w:rFonts w:cs="Times New Roman"/>
        </w:rPr>
        <w:t xml:space="preserve">9 </w:t>
      </w:r>
      <w:r w:rsidRPr="00F74767">
        <w:t>carries the force of exclusion (</w:t>
      </w:r>
      <w:r>
        <w:t>“</w:t>
      </w:r>
      <w:r w:rsidRPr="00F74767">
        <w:t>excluding the matter</w:t>
      </w:r>
      <w:r>
        <w:t>”</w:t>
      </w:r>
      <w:r w:rsidRPr="00F74767">
        <w:t xml:space="preserve">). This, however, ignores the parallel between the two Matthean passages. Moreover, </w:t>
      </w:r>
      <w:r>
        <w:t>μ</w:t>
      </w:r>
      <w:r>
        <w:rPr>
          <w:rFonts w:ascii="Times New Roman" w:hAnsi="Times New Roman" w:cs="Times New Roman"/>
        </w:rPr>
        <w:t>ὴ ἐπί</w:t>
      </w:r>
      <w:r>
        <w:rPr>
          <w:rFonts w:cs="Times New Roman"/>
        </w:rPr>
        <w:t xml:space="preserve"> </w:t>
      </w:r>
      <w:r w:rsidRPr="00F74767">
        <w:rPr>
          <w:rFonts w:cs="Times New Roman"/>
        </w:rPr>
        <w:t xml:space="preserve">can indeed be taken as an ellipsis for </w:t>
      </w:r>
      <w:r>
        <w:t>ε</w:t>
      </w:r>
      <w:r>
        <w:rPr>
          <w:rFonts w:ascii="Times New Roman" w:hAnsi="Times New Roman" w:cs="Times New Roman"/>
        </w:rPr>
        <w:t>ἰ/ἐάν μὴ</w:t>
      </w:r>
      <w:r>
        <w:t xml:space="preserve"> </w:t>
      </w:r>
      <w:r>
        <w:rPr>
          <w:rFonts w:ascii="Times New Roman" w:hAnsi="Times New Roman" w:cs="Times New Roman"/>
        </w:rPr>
        <w:t>ἐπί</w:t>
      </w:r>
      <w:r w:rsidRPr="00F74767">
        <w:rPr>
          <w:rFonts w:cs="Times New Roman"/>
        </w:rPr>
        <w:t xml:space="preserve">, </w:t>
      </w:r>
      <w:r w:rsidRPr="00F74767">
        <w:rPr>
          <w:rFonts w:cs="Times New Roman" w:hint="eastAsia"/>
          <w:lang w:eastAsia="zh-TW"/>
        </w:rPr>
        <w:t>and</w:t>
      </w:r>
      <w:r w:rsidRPr="00F74767">
        <w:rPr>
          <w:rFonts w:cs="Times New Roman"/>
        </w:rPr>
        <w:t xml:space="preserve"> Guenther admits that this fuller form does carry an exceptive force (95).</w:t>
      </w:r>
    </w:p>
  </w:footnote>
  <w:footnote w:id="12">
    <w:p w:rsidR="00912254" w:rsidRPr="00F74767" w:rsidRDefault="00912254" w:rsidP="00386180">
      <w:pPr>
        <w:pStyle w:val="FootnoteText"/>
      </w:pPr>
      <w:r w:rsidRPr="00F74767">
        <w:rPr>
          <w:rStyle w:val="FootnoteReference"/>
        </w:rPr>
        <w:footnoteRef/>
      </w:r>
      <w:r w:rsidRPr="00F74767">
        <w:t xml:space="preserve"> </w:t>
      </w:r>
      <w:r>
        <w:t>D.E</w:t>
      </w:r>
      <w:r w:rsidRPr="00F74767">
        <w:t xml:space="preserve">. Holwerda, “Jesus on Divorce: An Assessment of a New Proposal,” </w:t>
      </w:r>
      <w:r w:rsidRPr="00F74767">
        <w:rPr>
          <w:i/>
        </w:rPr>
        <w:t>CTJ</w:t>
      </w:r>
      <w:r w:rsidRPr="00F74767">
        <w:t xml:space="preserve"> 22 (1987</w:t>
      </w:r>
      <w:r>
        <w:t>)</w:t>
      </w:r>
      <w:r w:rsidRPr="00F74767">
        <w:t xml:space="preserve"> 114-</w:t>
      </w:r>
      <w:r>
        <w:t>1</w:t>
      </w:r>
      <w:r w:rsidRPr="00F74767">
        <w:t>20; P</w:t>
      </w:r>
      <w:r>
        <w:t>.</w:t>
      </w:r>
      <w:r w:rsidRPr="00F74767">
        <w:t xml:space="preserve">H. Wiebe, </w:t>
      </w:r>
      <w:r>
        <w:t>“</w:t>
      </w:r>
      <w:r w:rsidRPr="00F74767">
        <w:t>Jesus’ Divorce Exception</w:t>
      </w:r>
      <w:r>
        <w:t>,”</w:t>
      </w:r>
      <w:r w:rsidRPr="00F74767">
        <w:t xml:space="preserve"> </w:t>
      </w:r>
      <w:r w:rsidRPr="00F74767">
        <w:rPr>
          <w:i/>
        </w:rPr>
        <w:t>JETS</w:t>
      </w:r>
      <w:r w:rsidRPr="00F74767">
        <w:t xml:space="preserve"> 32 (1989</w:t>
      </w:r>
      <w:r>
        <w:t>)</w:t>
      </w:r>
      <w:r w:rsidRPr="00F74767">
        <w:t xml:space="preserve"> 327-</w:t>
      </w:r>
      <w:r>
        <w:t>3</w:t>
      </w:r>
      <w:r w:rsidRPr="00F74767">
        <w:t>33.</w:t>
      </w:r>
    </w:p>
  </w:footnote>
  <w:footnote w:id="13">
    <w:p w:rsidR="00912254" w:rsidRPr="00F74767" w:rsidRDefault="00912254" w:rsidP="00386180">
      <w:pPr>
        <w:pStyle w:val="FootnoteText"/>
      </w:pPr>
      <w:r w:rsidRPr="00F74767">
        <w:rPr>
          <w:rStyle w:val="FootnoteReference"/>
        </w:rPr>
        <w:footnoteRef/>
      </w:r>
      <w:r>
        <w:t xml:space="preserve"> A.</w:t>
      </w:r>
      <w:r w:rsidRPr="00F74767">
        <w:t xml:space="preserve"> Feuillet, </w:t>
      </w:r>
      <w:r>
        <w:t>“</w:t>
      </w:r>
      <w:r w:rsidRPr="00F74767">
        <w:t>L’indissolubilité du mariage et le monde féminin d’aprìs la doctrine évangélique et quelques autres données bibliques parallìles</w:t>
      </w:r>
      <w:r>
        <w:t>,”</w:t>
      </w:r>
      <w:r w:rsidRPr="00F74767">
        <w:t xml:space="preserve"> </w:t>
      </w:r>
      <w:r w:rsidRPr="00F74767">
        <w:rPr>
          <w:i/>
        </w:rPr>
        <w:t>Scripta Theologica</w:t>
      </w:r>
      <w:r w:rsidRPr="00F74767">
        <w:t xml:space="preserve"> 17 (1985</w:t>
      </w:r>
      <w:r>
        <w:t>)</w:t>
      </w:r>
      <w:r w:rsidRPr="00F74767">
        <w:t xml:space="preserve"> 415-461; W</w:t>
      </w:r>
      <w:r>
        <w:t>.</w:t>
      </w:r>
      <w:r w:rsidRPr="00F74767">
        <w:t>A. Heth and G</w:t>
      </w:r>
      <w:r>
        <w:t>.</w:t>
      </w:r>
      <w:r w:rsidRPr="00F74767">
        <w:t xml:space="preserve">J. Wenham, </w:t>
      </w:r>
      <w:r w:rsidRPr="00F74767">
        <w:rPr>
          <w:i/>
        </w:rPr>
        <w:t>Jesus and Divorce</w:t>
      </w:r>
      <w:r w:rsidRPr="00F74767">
        <w:t xml:space="preserve"> (Milton Keynes, UK: Paternoster, 2000 [1984]).</w:t>
      </w:r>
    </w:p>
  </w:footnote>
  <w:footnote w:id="14">
    <w:p w:rsidR="00912254" w:rsidRPr="00F74767" w:rsidRDefault="00912254" w:rsidP="00386180">
      <w:pPr>
        <w:pStyle w:val="FootnoteText"/>
      </w:pPr>
      <w:r w:rsidRPr="00F74767">
        <w:rPr>
          <w:rStyle w:val="FootnoteReference"/>
        </w:rPr>
        <w:footnoteRef/>
      </w:r>
      <w:r w:rsidRPr="00F74767">
        <w:t xml:space="preserve"> Both sides have also appealed to the competing interpretations of this clause in Church Fathers (see J</w:t>
      </w:r>
      <w:r>
        <w:t>.</w:t>
      </w:r>
      <w:r w:rsidRPr="00F74767">
        <w:t xml:space="preserve"> Moingt</w:t>
      </w:r>
      <w:r>
        <w:t>,</w:t>
      </w:r>
      <w:r w:rsidRPr="00F74767">
        <w:t xml:space="preserve"> </w:t>
      </w:r>
      <w:r>
        <w:t>“Le Divorce ‘Pour Motif d’Impudicité’,”</w:t>
      </w:r>
      <w:r w:rsidRPr="00F74767">
        <w:t xml:space="preserve"> </w:t>
      </w:r>
      <w:r w:rsidRPr="00F74767">
        <w:rPr>
          <w:i/>
        </w:rPr>
        <w:t>RSR</w:t>
      </w:r>
      <w:r>
        <w:t xml:space="preserve"> 56 [1968]</w:t>
      </w:r>
      <w:r w:rsidRPr="00F74767">
        <w:t xml:space="preserve"> 339-44).</w:t>
      </w:r>
    </w:p>
  </w:footnote>
  <w:footnote w:id="15">
    <w:p w:rsidR="00912254" w:rsidRPr="00F74767" w:rsidRDefault="00912254" w:rsidP="00386180">
      <w:pPr>
        <w:pStyle w:val="FootnoteText"/>
      </w:pPr>
      <w:r w:rsidRPr="00F74767">
        <w:rPr>
          <w:rStyle w:val="FootnoteReference"/>
        </w:rPr>
        <w:footnoteRef/>
      </w:r>
      <w:r w:rsidRPr="00F74767">
        <w:t xml:space="preserve"> The repetitive nature of Jesu</w:t>
      </w:r>
      <w:r>
        <w:t>s’</w:t>
      </w:r>
      <w:r w:rsidRPr="00F74767">
        <w:t xml:space="preserve"> teaching is well illustrated in the complicated textual history behind the two texts. See the discussions in H</w:t>
      </w:r>
      <w:r>
        <w:t>.</w:t>
      </w:r>
      <w:r w:rsidRPr="00F74767">
        <w:t xml:space="preserve"> Crouzel</w:t>
      </w:r>
      <w:r>
        <w:t>,</w:t>
      </w:r>
      <w:r w:rsidRPr="00F74767">
        <w:t xml:space="preserve"> </w:t>
      </w:r>
      <w:r>
        <w:t>“</w:t>
      </w:r>
      <w:r w:rsidRPr="00F74767">
        <w:t>The Synoptic Divorce Material as a Traditio-Historical Problem</w:t>
      </w:r>
      <w:r>
        <w:t>,”</w:t>
      </w:r>
      <w:r w:rsidRPr="00F74767">
        <w:t xml:space="preserve"> </w:t>
      </w:r>
      <w:r w:rsidRPr="00F74767">
        <w:rPr>
          <w:i/>
        </w:rPr>
        <w:t>BJRL</w:t>
      </w:r>
      <w:r w:rsidRPr="00F74767">
        <w:t xml:space="preserve"> 57 (1972</w:t>
      </w:r>
      <w:r>
        <w:t>)</w:t>
      </w:r>
      <w:r w:rsidRPr="00F74767">
        <w:t xml:space="preserve"> 98-119 and M</w:t>
      </w:r>
      <w:r>
        <w:t>.</w:t>
      </w:r>
      <w:r w:rsidRPr="00F74767">
        <w:t>W. Holmes</w:t>
      </w:r>
      <w:r>
        <w:t>,</w:t>
      </w:r>
      <w:r w:rsidRPr="00F74767">
        <w:t xml:space="preserve"> </w:t>
      </w:r>
      <w:r>
        <w:t>“</w:t>
      </w:r>
      <w:r w:rsidRPr="00F74767">
        <w:t>The Text of the Matthean Divorce Passages: A Comment on the Appeal to Harmonization in Textual Decisions</w:t>
      </w:r>
      <w:r>
        <w:t>,”</w:t>
      </w:r>
      <w:r w:rsidRPr="00F74767">
        <w:t xml:space="preserve"> </w:t>
      </w:r>
      <w:r w:rsidRPr="00F74767">
        <w:rPr>
          <w:i/>
        </w:rPr>
        <w:t>JBL</w:t>
      </w:r>
      <w:r>
        <w:t xml:space="preserve"> 109 (1990)</w:t>
      </w:r>
      <w:r w:rsidRPr="00F74767">
        <w:t xml:space="preserve"> 651-</w:t>
      </w:r>
      <w:r>
        <w:t>6</w:t>
      </w:r>
      <w:r w:rsidRPr="00F74767">
        <w:t>64.</w:t>
      </w:r>
    </w:p>
  </w:footnote>
  <w:footnote w:id="16">
    <w:p w:rsidR="00912254" w:rsidRDefault="00912254" w:rsidP="00386180">
      <w:pPr>
        <w:pStyle w:val="FootnoteText"/>
      </w:pPr>
      <w:r>
        <w:rPr>
          <w:rStyle w:val="FootnoteReference"/>
        </w:rPr>
        <w:footnoteRef/>
      </w:r>
      <w:r>
        <w:t xml:space="preserve"> BDAG, s.v. </w:t>
      </w:r>
      <w:r>
        <w:rPr>
          <w:rFonts w:cs="Times New Roman"/>
        </w:rPr>
        <w:t>πορνε</w:t>
      </w:r>
      <w:r>
        <w:rPr>
          <w:rFonts w:ascii="Times New Roman" w:hAnsi="Times New Roman" w:cs="Times New Roman"/>
        </w:rPr>
        <w:t>ία</w:t>
      </w:r>
      <w:r>
        <w:t xml:space="preserve"> 2.</w:t>
      </w:r>
    </w:p>
  </w:footnote>
  <w:footnote w:id="17">
    <w:p w:rsidR="00912254" w:rsidRDefault="00912254" w:rsidP="00386180">
      <w:pPr>
        <w:pStyle w:val="FootnoteText"/>
      </w:pPr>
      <w:r>
        <w:rPr>
          <w:rStyle w:val="FootnoteReference"/>
        </w:rPr>
        <w:footnoteRef/>
      </w:r>
      <w:r>
        <w:t xml:space="preserve"> E.g. A. </w:t>
      </w:r>
      <w:r w:rsidRPr="00D87640">
        <w:t xml:space="preserve">Isaksson, </w:t>
      </w:r>
      <w:r w:rsidRPr="00D87640">
        <w:rPr>
          <w:i/>
        </w:rPr>
        <w:t>Marriage and Ministry in the New Temple</w:t>
      </w:r>
      <w:r w:rsidRPr="00D87640">
        <w:t xml:space="preserve"> (Lund: Gleerup, 1965</w:t>
      </w:r>
      <w:r>
        <w:t>) 116-152.</w:t>
      </w:r>
    </w:p>
  </w:footnote>
  <w:footnote w:id="18">
    <w:p w:rsidR="00912254" w:rsidRDefault="00912254" w:rsidP="00386180">
      <w:pPr>
        <w:pStyle w:val="FootnoteText"/>
      </w:pPr>
      <w:r>
        <w:rPr>
          <w:rStyle w:val="FootnoteReference"/>
        </w:rPr>
        <w:footnoteRef/>
      </w:r>
      <w:r>
        <w:t xml:space="preserve"> E.g. </w:t>
      </w:r>
      <w:r w:rsidRPr="00E82B53">
        <w:t>L</w:t>
      </w:r>
      <w:r>
        <w:t>.</w:t>
      </w:r>
      <w:r w:rsidRPr="00E82B53">
        <w:t xml:space="preserve"> Ramaroson, “Un</w:t>
      </w:r>
      <w:r>
        <w:t>e nouvell interprétation de la ‘clausule’</w:t>
      </w:r>
      <w:r w:rsidRPr="00E82B53">
        <w:t xml:space="preserve"> de Mt 19,9,” </w:t>
      </w:r>
      <w:r w:rsidRPr="00E82B53">
        <w:rPr>
          <w:i/>
        </w:rPr>
        <w:t>ScEs</w:t>
      </w:r>
      <w:r w:rsidRPr="00E82B53">
        <w:t xml:space="preserve"> 23 (1971</w:t>
      </w:r>
      <w:r>
        <w:t>)</w:t>
      </w:r>
      <w:r w:rsidRPr="00E82B53">
        <w:t xml:space="preserve"> 247-</w:t>
      </w:r>
      <w:r>
        <w:t>2</w:t>
      </w:r>
      <w:r w:rsidRPr="00E82B53">
        <w:t>51.</w:t>
      </w:r>
    </w:p>
  </w:footnote>
  <w:footnote w:id="19">
    <w:p w:rsidR="00912254" w:rsidRDefault="00912254" w:rsidP="00386180">
      <w:pPr>
        <w:pStyle w:val="FootnoteText"/>
      </w:pPr>
      <w:r>
        <w:rPr>
          <w:rStyle w:val="FootnoteReference"/>
        </w:rPr>
        <w:footnoteRef/>
      </w:r>
      <w:r>
        <w:t xml:space="preserve"> J. Bonsirven, </w:t>
      </w:r>
      <w:r w:rsidRPr="00CD4D10">
        <w:rPr>
          <w:i/>
        </w:rPr>
        <w:t>Le divorce dans le Nouveau Testament</w:t>
      </w:r>
      <w:r>
        <w:t xml:space="preserve"> (Paris: Desclée, 1948) 46-60.</w:t>
      </w:r>
    </w:p>
  </w:footnote>
  <w:footnote w:id="20">
    <w:p w:rsidR="00912254" w:rsidRDefault="00912254" w:rsidP="00386180">
      <w:r>
        <w:rPr>
          <w:rStyle w:val="FootnoteReference"/>
        </w:rPr>
        <w:footnoteRef/>
      </w:r>
      <w:r>
        <w:t xml:space="preserve"> P. Bonnard, </w:t>
      </w:r>
      <w:r w:rsidRPr="00CD4D10">
        <w:rPr>
          <w:i/>
        </w:rPr>
        <w:t>L’Évangile selon Saint Matthieu</w:t>
      </w:r>
      <w:r w:rsidRPr="00CD4D10">
        <w:t xml:space="preserve"> (CNT 1;</w:t>
      </w:r>
      <w:r>
        <w:t xml:space="preserve"> Neuchatel: Delachaux &amp; Niestlé, 1963) 69-70; Meier, </w:t>
      </w:r>
      <w:r w:rsidRPr="007C6D0C">
        <w:rPr>
          <w:i/>
        </w:rPr>
        <w:t>Law and History in Matthew’s Gospel</w:t>
      </w:r>
      <w:r>
        <w:t>, 147-150; J. Jensen, “</w:t>
      </w:r>
      <w:r w:rsidRPr="00CD4D10">
        <w:t xml:space="preserve">Does </w:t>
      </w:r>
      <w:r w:rsidRPr="00CD4D10">
        <w:rPr>
          <w:i/>
        </w:rPr>
        <w:t>Porneia</w:t>
      </w:r>
      <w:r w:rsidRPr="00CD4D10">
        <w:t xml:space="preserve"> Mean Fornication? A Critique of Bruce Malina</w:t>
      </w:r>
      <w:r>
        <w:t>,”</w:t>
      </w:r>
      <w:r w:rsidRPr="00CD4D10">
        <w:t xml:space="preserve"> </w:t>
      </w:r>
      <w:r w:rsidRPr="00CD4D10">
        <w:rPr>
          <w:i/>
        </w:rPr>
        <w:t>NovT</w:t>
      </w:r>
      <w:r w:rsidRPr="00CD4D10">
        <w:t xml:space="preserve"> 20</w:t>
      </w:r>
      <w:r>
        <w:t xml:space="preserve"> (1978) 161-184; F.J. Moloney, “</w:t>
      </w:r>
      <w:r w:rsidRPr="00CD4D10">
        <w:t>Matthew 19:3-12 and Celibacy: A Redactional and Form Critical Study</w:t>
      </w:r>
      <w:r>
        <w:t>,”</w:t>
      </w:r>
      <w:r w:rsidRPr="00CD4D10">
        <w:t xml:space="preserve"> </w:t>
      </w:r>
      <w:r w:rsidRPr="00CD4D10">
        <w:rPr>
          <w:i/>
        </w:rPr>
        <w:t>JSNT</w:t>
      </w:r>
      <w:r w:rsidRPr="00CD4D10">
        <w:t xml:space="preserve"> 2</w:t>
      </w:r>
      <w:r>
        <w:t xml:space="preserve"> (1979)</w:t>
      </w:r>
      <w:r w:rsidRPr="00CD4D10">
        <w:t xml:space="preserve"> 42-60</w:t>
      </w:r>
      <w:r>
        <w:t>; B. Witherington, III., “</w:t>
      </w:r>
      <w:r w:rsidRPr="00CD4D10">
        <w:t>Matthew 5.32 and 19.9 – Exception or Exceptional Situation?</w:t>
      </w:r>
      <w:r>
        <w:t>”</w:t>
      </w:r>
      <w:r w:rsidRPr="00CD4D10">
        <w:t xml:space="preserve"> </w:t>
      </w:r>
      <w:r w:rsidRPr="00CD4D10">
        <w:rPr>
          <w:i/>
        </w:rPr>
        <w:t>NTS</w:t>
      </w:r>
      <w:r w:rsidRPr="00CD4D10">
        <w:t xml:space="preserve"> 31</w:t>
      </w:r>
      <w:r>
        <w:t xml:space="preserve"> (1985)</w:t>
      </w:r>
      <w:r w:rsidRPr="00CD4D10">
        <w:t xml:space="preserve"> 571-</w:t>
      </w:r>
      <w:r>
        <w:t>5</w:t>
      </w:r>
      <w:r w:rsidRPr="00CD4D10">
        <w:t>76.</w:t>
      </w:r>
    </w:p>
  </w:footnote>
  <w:footnote w:id="21">
    <w:p w:rsidR="00912254" w:rsidRDefault="00912254" w:rsidP="00386180">
      <w:pPr>
        <w:pStyle w:val="FootnoteText"/>
      </w:pPr>
      <w:r>
        <w:rPr>
          <w:rStyle w:val="FootnoteReference"/>
        </w:rPr>
        <w:footnoteRef/>
      </w:r>
      <w:r>
        <w:t xml:space="preserve"> J.A. Fitzmyer, “</w:t>
      </w:r>
      <w:r w:rsidRPr="00CD4D10">
        <w:t>The Matthean Divorce Texts and Some New Palestinian Evidence</w:t>
      </w:r>
      <w:r>
        <w:t>,”</w:t>
      </w:r>
      <w:r w:rsidRPr="00CD4D10">
        <w:t xml:space="preserve"> </w:t>
      </w:r>
      <w:r w:rsidRPr="00CD4D10">
        <w:rPr>
          <w:i/>
        </w:rPr>
        <w:t>TS</w:t>
      </w:r>
      <w:r w:rsidRPr="00CD4D10">
        <w:t xml:space="preserve"> 37</w:t>
      </w:r>
      <w:r>
        <w:t xml:space="preserve"> (1976)</w:t>
      </w:r>
      <w:r w:rsidRPr="00CD4D10">
        <w:t xml:space="preserve"> 197-226.</w:t>
      </w:r>
    </w:p>
  </w:footnote>
  <w:footnote w:id="22">
    <w:p w:rsidR="00912254" w:rsidRDefault="00912254" w:rsidP="00386180">
      <w:pPr>
        <w:pStyle w:val="FootnoteText"/>
      </w:pPr>
      <w:r>
        <w:rPr>
          <w:rStyle w:val="FootnoteReference"/>
        </w:rPr>
        <w:footnoteRef/>
      </w:r>
      <w:r>
        <w:t xml:space="preserve"> Cf. Sigal, </w:t>
      </w:r>
      <w:r w:rsidRPr="00CA35C9">
        <w:rPr>
          <w:i/>
        </w:rPr>
        <w:t>Halakah of Jesus of Nazareth</w:t>
      </w:r>
      <w:r>
        <w:t>, 100-101.</w:t>
      </w:r>
    </w:p>
  </w:footnote>
  <w:footnote w:id="23">
    <w:p w:rsidR="00912254" w:rsidRPr="00F74767" w:rsidRDefault="00912254" w:rsidP="00386180">
      <w:pPr>
        <w:pStyle w:val="FootnoteText"/>
      </w:pPr>
      <w:r w:rsidRPr="00F74767">
        <w:rPr>
          <w:rStyle w:val="FootnoteReference"/>
        </w:rPr>
        <w:footnoteRef/>
      </w:r>
      <w:r w:rsidRPr="00F74767">
        <w:t xml:space="preserve"> See, in particular, the helpful discussion in C</w:t>
      </w:r>
      <w:r>
        <w:t>.</w:t>
      </w:r>
      <w:r w:rsidRPr="00F74767">
        <w:t>S. Keener</w:t>
      </w:r>
      <w:r w:rsidRPr="00F74767">
        <w:rPr>
          <w:i/>
        </w:rPr>
        <w:t xml:space="preserve"> A Commentary on the Gospel of Matthew</w:t>
      </w:r>
      <w:r w:rsidRPr="00F74767">
        <w:t xml:space="preserve"> (Grand Rapids: Eerdmans, 1999</w:t>
      </w:r>
      <w:r>
        <w:t>)</w:t>
      </w:r>
      <w:r w:rsidRPr="00F74767">
        <w:t xml:space="preserve"> 467-</w:t>
      </w:r>
      <w:r>
        <w:t>4</w:t>
      </w:r>
      <w:r w:rsidRPr="00F74767">
        <w:t xml:space="preserve">69, who provides detailed evidence that incestuous relationships are widely rejected outside of Egypt, and that </w:t>
      </w:r>
      <w:r>
        <w:t>“</w:t>
      </w:r>
      <w:r w:rsidRPr="00F74767">
        <w:t>the incest taboo is almost universal</w:t>
      </w:r>
      <w:r>
        <w:t>”</w:t>
      </w:r>
      <w:r w:rsidRPr="00F74767">
        <w:t xml:space="preserve"> (468).</w:t>
      </w:r>
    </w:p>
  </w:footnote>
  <w:footnote w:id="24">
    <w:p w:rsidR="00912254" w:rsidRPr="00F74767" w:rsidRDefault="00912254" w:rsidP="00386180">
      <w:pPr>
        <w:pStyle w:val="FootnoteText"/>
      </w:pPr>
      <w:r w:rsidRPr="00F74767">
        <w:rPr>
          <w:rStyle w:val="FootnoteReference"/>
        </w:rPr>
        <w:footnoteRef/>
      </w:r>
      <w:r w:rsidRPr="00F74767">
        <w:t xml:space="preserve"> Cf. A</w:t>
      </w:r>
      <w:r>
        <w:t>.</w:t>
      </w:r>
      <w:r w:rsidRPr="00F74767">
        <w:t xml:space="preserve"> Yarbro Collins, </w:t>
      </w:r>
      <w:r w:rsidRPr="00DA7B1D">
        <w:rPr>
          <w:i/>
        </w:rPr>
        <w:t>Mark</w:t>
      </w:r>
      <w:r w:rsidRPr="00F74767">
        <w:t xml:space="preserve"> (Hermeneia; Minneapolis: Fortress, 2007</w:t>
      </w:r>
      <w:r>
        <w:t>)</w:t>
      </w:r>
      <w:r w:rsidRPr="00F74767">
        <w:t xml:space="preserve"> 202-203.</w:t>
      </w:r>
    </w:p>
  </w:footnote>
  <w:footnote w:id="25">
    <w:p w:rsidR="00912254" w:rsidRPr="00F74767" w:rsidRDefault="00912254" w:rsidP="00386180">
      <w:pPr>
        <w:pStyle w:val="FootnoteText"/>
      </w:pPr>
      <w:r w:rsidRPr="00F74767">
        <w:rPr>
          <w:rStyle w:val="FootnoteReference"/>
        </w:rPr>
        <w:footnoteRef/>
      </w:r>
      <w:r w:rsidRPr="00F74767">
        <w:t xml:space="preserve"> E.g. E</w:t>
      </w:r>
      <w:r>
        <w:t>.</w:t>
      </w:r>
      <w:r w:rsidRPr="00F74767">
        <w:t xml:space="preserve"> Lövestam, </w:t>
      </w:r>
      <w:r>
        <w:t>“</w:t>
      </w:r>
      <w:r w:rsidRPr="00F74767">
        <w:t>Divorce and Remarriage in the New Testament</w:t>
      </w:r>
      <w:r>
        <w:t>,”</w:t>
      </w:r>
      <w:r w:rsidRPr="00F74767">
        <w:t xml:space="preserve"> </w:t>
      </w:r>
      <w:r w:rsidRPr="00F74767">
        <w:rPr>
          <w:i/>
        </w:rPr>
        <w:t>JLA</w:t>
      </w:r>
      <w:r w:rsidRPr="00F74767">
        <w:t xml:space="preserve"> 4 (1981</w:t>
      </w:r>
      <w:r>
        <w:t>)</w:t>
      </w:r>
      <w:r w:rsidRPr="00F74767">
        <w:t xml:space="preserve"> 47-65.</w:t>
      </w:r>
    </w:p>
  </w:footnote>
  <w:footnote w:id="26">
    <w:p w:rsidR="00912254" w:rsidRPr="00F74767" w:rsidRDefault="00912254" w:rsidP="00386180">
      <w:pPr>
        <w:pStyle w:val="FootnoteText"/>
      </w:pPr>
      <w:r w:rsidRPr="00F74767">
        <w:rPr>
          <w:rStyle w:val="FootnoteReference"/>
        </w:rPr>
        <w:footnoteRef/>
      </w:r>
      <w:r w:rsidRPr="00F74767">
        <w:t xml:space="preserve"> Betz, </w:t>
      </w:r>
      <w:r w:rsidRPr="00F74767">
        <w:rPr>
          <w:i/>
        </w:rPr>
        <w:t>Sermon on the Mount</w:t>
      </w:r>
      <w:r w:rsidRPr="00F74767">
        <w:t>, 250.</w:t>
      </w:r>
    </w:p>
  </w:footnote>
  <w:footnote w:id="27">
    <w:p w:rsidR="00912254" w:rsidRPr="00F74767" w:rsidRDefault="00912254" w:rsidP="00386180">
      <w:pPr>
        <w:pStyle w:val="FootnoteText"/>
      </w:pPr>
      <w:r w:rsidRPr="00F74767">
        <w:rPr>
          <w:rStyle w:val="FootnoteReference"/>
        </w:rPr>
        <w:footnoteRef/>
      </w:r>
      <w:r w:rsidRPr="00F74767">
        <w:t xml:space="preserve"> T</w:t>
      </w:r>
      <w:r>
        <w:t>.</w:t>
      </w:r>
      <w:r w:rsidRPr="00F74767">
        <w:t xml:space="preserve">V. Fleming, </w:t>
      </w:r>
      <w:r>
        <w:t>“</w:t>
      </w:r>
      <w:r w:rsidRPr="00F74767">
        <w:t>Christ and Divorce</w:t>
      </w:r>
      <w:r>
        <w:t>,”</w:t>
      </w:r>
      <w:r w:rsidRPr="00F74767">
        <w:t xml:space="preserve"> </w:t>
      </w:r>
      <w:r w:rsidRPr="00F74767">
        <w:rPr>
          <w:i/>
        </w:rPr>
        <w:t>TS</w:t>
      </w:r>
      <w:r w:rsidRPr="00F74767">
        <w:t xml:space="preserve"> 24 (1963</w:t>
      </w:r>
      <w:r>
        <w:t>)</w:t>
      </w:r>
      <w:r w:rsidRPr="00F74767">
        <w:t xml:space="preserve"> 106-20; J</w:t>
      </w:r>
      <w:r>
        <w:t>.</w:t>
      </w:r>
      <w:r w:rsidRPr="00F74767">
        <w:t xml:space="preserve"> Gnilka, </w:t>
      </w:r>
      <w:r w:rsidRPr="00F74767">
        <w:rPr>
          <w:i/>
        </w:rPr>
        <w:t>Das Matthäusevangelium</w:t>
      </w:r>
      <w:r w:rsidRPr="00F74767">
        <w:t>, I. Teil (HKNT 1; Freiburg: Herder, 1986</w:t>
      </w:r>
      <w:r>
        <w:t>)</w:t>
      </w:r>
      <w:r w:rsidRPr="00F74767">
        <w:t xml:space="preserve"> 167-</w:t>
      </w:r>
      <w:r>
        <w:t>169; W.D. Davies and D.</w:t>
      </w:r>
      <w:r w:rsidRPr="00F74767">
        <w:t xml:space="preserve">C. Allison, Jr., </w:t>
      </w:r>
      <w:r w:rsidRPr="00F74767">
        <w:rPr>
          <w:i/>
        </w:rPr>
        <w:t>Matthew</w:t>
      </w:r>
      <w:r w:rsidRPr="00F74767">
        <w:t>, vol. I (ICC; Edinburgh: T&amp;T Clark, 1988</w:t>
      </w:r>
      <w:r>
        <w:t>)</w:t>
      </w:r>
      <w:r w:rsidRPr="00F74767">
        <w:t xml:space="preserve"> 530-31; Keener, </w:t>
      </w:r>
      <w:r w:rsidRPr="00E918F8">
        <w:rPr>
          <w:i/>
        </w:rPr>
        <w:t>Commentary on the Gospel of Matthew</w:t>
      </w:r>
      <w:r>
        <w:t>, 466; C.</w:t>
      </w:r>
      <w:r w:rsidRPr="00F74767">
        <w:t xml:space="preserve">L. Blomberg, </w:t>
      </w:r>
      <w:r>
        <w:t>“</w:t>
      </w:r>
      <w:r w:rsidRPr="00F74767">
        <w:t>Matthew</w:t>
      </w:r>
      <w:r>
        <w:t>,”</w:t>
      </w:r>
      <w:r w:rsidRPr="00F74767">
        <w:t xml:space="preserve"> in </w:t>
      </w:r>
      <w:r w:rsidRPr="00F74767">
        <w:rPr>
          <w:i/>
        </w:rPr>
        <w:t>Commentary on the New Testament Use of the Old Testament</w:t>
      </w:r>
      <w:r>
        <w:t xml:space="preserve"> (ed. G.K. Beale and D.</w:t>
      </w:r>
      <w:r w:rsidRPr="00F74767">
        <w:t>A. Carson; Grand Rapids: Baker, 2007</w:t>
      </w:r>
      <w:r>
        <w:t>)</w:t>
      </w:r>
      <w:r w:rsidRPr="00F74767">
        <w:t xml:space="preserve"> 24, 61.</w:t>
      </w:r>
    </w:p>
  </w:footnote>
  <w:footnote w:id="28">
    <w:p w:rsidR="00912254" w:rsidRPr="00F74767" w:rsidRDefault="00912254" w:rsidP="00386180">
      <w:pPr>
        <w:pStyle w:val="FootnoteText"/>
      </w:pPr>
      <w:r w:rsidRPr="00F74767">
        <w:rPr>
          <w:rStyle w:val="FootnoteReference"/>
        </w:rPr>
        <w:footnoteRef/>
      </w:r>
      <w:r w:rsidRPr="00F74767">
        <w:t xml:space="preserve"> M</w:t>
      </w:r>
      <w:r>
        <w:t>.</w:t>
      </w:r>
      <w:r w:rsidRPr="00F74767">
        <w:t xml:space="preserve"> Bockmuehl, </w:t>
      </w:r>
      <w:r>
        <w:t>“</w:t>
      </w:r>
      <w:r w:rsidRPr="00F74767">
        <w:t>Matthew 5.32; 19.9 in the Light of Pre-Rabbinic Halakhah</w:t>
      </w:r>
      <w:r>
        <w:t>,”</w:t>
      </w:r>
      <w:r w:rsidRPr="00F74767">
        <w:t xml:space="preserve"> </w:t>
      </w:r>
      <w:r w:rsidRPr="00F74767">
        <w:rPr>
          <w:i/>
        </w:rPr>
        <w:t>NTS</w:t>
      </w:r>
      <w:r w:rsidRPr="00F74767">
        <w:t xml:space="preserve"> 35 (1989</w:t>
      </w:r>
      <w:r>
        <w:t>)</w:t>
      </w:r>
      <w:r w:rsidRPr="00F74767">
        <w:t xml:space="preserve"> 291-</w:t>
      </w:r>
      <w:r>
        <w:t>2</w:t>
      </w:r>
      <w:r w:rsidRPr="00F74767">
        <w:t xml:space="preserve">95. </w:t>
      </w:r>
    </w:p>
  </w:footnote>
  <w:footnote w:id="29">
    <w:p w:rsidR="00912254" w:rsidRPr="00F74767" w:rsidRDefault="00912254" w:rsidP="00386180">
      <w:pPr>
        <w:pStyle w:val="FootnoteText"/>
      </w:pPr>
      <w:r w:rsidRPr="00F74767">
        <w:rPr>
          <w:rStyle w:val="FootnoteReference"/>
        </w:rPr>
        <w:footnoteRef/>
      </w:r>
      <w:r w:rsidRPr="00F74767">
        <w:t xml:space="preserve"> P</w:t>
      </w:r>
      <w:r>
        <w:t>.</w:t>
      </w:r>
      <w:r w:rsidRPr="00F74767">
        <w:t xml:space="preserve"> Foster, </w:t>
      </w:r>
      <w:r w:rsidRPr="00F74767">
        <w:rPr>
          <w:i/>
        </w:rPr>
        <w:t>Community, Law and Mission in Matthew’s Gospel</w:t>
      </w:r>
      <w:r w:rsidRPr="00F74767">
        <w:t xml:space="preserve"> (WUNT 2.177; Tübingen: Mohr Siebeck, 2004</w:t>
      </w:r>
      <w:r>
        <w:t>)</w:t>
      </w:r>
      <w:r w:rsidRPr="00F74767">
        <w:t xml:space="preserve"> 110-112.</w:t>
      </w:r>
    </w:p>
  </w:footnote>
  <w:footnote w:id="30">
    <w:p w:rsidR="00912254" w:rsidRPr="00F74767" w:rsidRDefault="00912254" w:rsidP="00386180">
      <w:pPr>
        <w:pStyle w:val="FootnoteText"/>
      </w:pPr>
      <w:r w:rsidRPr="00F74767">
        <w:rPr>
          <w:rStyle w:val="FootnoteReference"/>
        </w:rPr>
        <w:footnoteRef/>
      </w:r>
      <w:r w:rsidRPr="00F74767">
        <w:t xml:space="preserve"> D</w:t>
      </w:r>
      <w:r>
        <w:t>.</w:t>
      </w:r>
      <w:r w:rsidRPr="00F74767">
        <w:t>C. Allison, Jr., “Divorce, Celibacy and Joseph (Matthew 1.18-25 and 19.1-12)</w:t>
      </w:r>
      <w:r w:rsidRPr="00F74767">
        <w:rPr>
          <w:lang w:eastAsia="zh-TW"/>
        </w:rPr>
        <w:t>,”</w:t>
      </w:r>
      <w:r w:rsidRPr="00F74767">
        <w:t xml:space="preserve"> </w:t>
      </w:r>
      <w:r w:rsidRPr="00F74767">
        <w:rPr>
          <w:i/>
        </w:rPr>
        <w:t>JSNT</w:t>
      </w:r>
      <w:r w:rsidRPr="00F74767">
        <w:t xml:space="preserve"> 49 (1993</w:t>
      </w:r>
      <w:r>
        <w:t>)</w:t>
      </w:r>
      <w:r w:rsidRPr="00F74767">
        <w:t xml:space="preserve"> 3-10.</w:t>
      </w:r>
    </w:p>
  </w:footnote>
  <w:footnote w:id="31">
    <w:p w:rsidR="00912254" w:rsidRPr="00F74767" w:rsidRDefault="00912254" w:rsidP="00386180">
      <w:pPr>
        <w:pStyle w:val="FootnoteText"/>
      </w:pPr>
      <w:r w:rsidRPr="00F74767">
        <w:rPr>
          <w:rStyle w:val="FootnoteReference"/>
        </w:rPr>
        <w:footnoteRef/>
      </w:r>
      <w:r w:rsidRPr="00F74767">
        <w:t xml:space="preserve"> F</w:t>
      </w:r>
      <w:r>
        <w:t>.</w:t>
      </w:r>
      <w:r w:rsidRPr="00F74767">
        <w:t xml:space="preserve"> Hauck and S</w:t>
      </w:r>
      <w:r>
        <w:t>.</w:t>
      </w:r>
      <w:r w:rsidRPr="00F74767">
        <w:t xml:space="preserve"> Schulz, “</w:t>
      </w:r>
      <w:r>
        <w:t>Πόρνη κτλ.,</w:t>
      </w:r>
      <w:r w:rsidRPr="00F74767">
        <w:t xml:space="preserve">” </w:t>
      </w:r>
      <w:r w:rsidRPr="00F74767">
        <w:rPr>
          <w:i/>
        </w:rPr>
        <w:t>TDNT</w:t>
      </w:r>
      <w:r w:rsidRPr="00F74767">
        <w:t xml:space="preserve"> 6 (1968</w:t>
      </w:r>
      <w:r>
        <w:t>)</w:t>
      </w:r>
      <w:r w:rsidRPr="00F74767">
        <w:t xml:space="preserve"> 592.</w:t>
      </w:r>
    </w:p>
  </w:footnote>
  <w:footnote w:id="32">
    <w:p w:rsidR="00912254" w:rsidRPr="00F74767" w:rsidRDefault="00912254" w:rsidP="00386180">
      <w:pPr>
        <w:pStyle w:val="FootnoteText"/>
      </w:pPr>
      <w:r w:rsidRPr="00F74767">
        <w:rPr>
          <w:rStyle w:val="FootnoteReference"/>
        </w:rPr>
        <w:footnoteRef/>
      </w:r>
      <w:r w:rsidRPr="00F74767">
        <w:t xml:space="preserve"> Cf. D</w:t>
      </w:r>
      <w:r>
        <w:t>.</w:t>
      </w:r>
      <w:r w:rsidRPr="00F74767">
        <w:t xml:space="preserve"> Janzen, </w:t>
      </w:r>
      <w:r>
        <w:t>“</w:t>
      </w:r>
      <w:r w:rsidRPr="00F74767">
        <w:t xml:space="preserve">The Meaning of </w:t>
      </w:r>
      <w:r w:rsidRPr="00F74767">
        <w:rPr>
          <w:i/>
        </w:rPr>
        <w:t>Porneia</w:t>
      </w:r>
      <w:r w:rsidRPr="00F74767">
        <w:t xml:space="preserve"> in Matthew 5.32 and 19.9: An Approach from the Study of Ancient Near Eastern Culture</w:t>
      </w:r>
      <w:r>
        <w:t>,”</w:t>
      </w:r>
      <w:r w:rsidRPr="00F74767">
        <w:t xml:space="preserve"> </w:t>
      </w:r>
      <w:r w:rsidRPr="00F74767">
        <w:rPr>
          <w:i/>
        </w:rPr>
        <w:t>JSNT</w:t>
      </w:r>
      <w:r w:rsidRPr="00F74767">
        <w:t xml:space="preserve"> 80 (2000</w:t>
      </w:r>
      <w:r>
        <w:t>)</w:t>
      </w:r>
      <w:r w:rsidRPr="00F74767">
        <w:t xml:space="preserve"> 66-80.</w:t>
      </w:r>
    </w:p>
  </w:footnote>
  <w:footnote w:id="33">
    <w:p w:rsidR="00912254" w:rsidRPr="00F74767" w:rsidRDefault="00912254" w:rsidP="00386180">
      <w:pPr>
        <w:pStyle w:val="FootnoteText"/>
      </w:pPr>
      <w:r w:rsidRPr="00F74767">
        <w:rPr>
          <w:rStyle w:val="FootnoteReference"/>
        </w:rPr>
        <w:footnoteRef/>
      </w:r>
      <w:r w:rsidRPr="00F74767">
        <w:t xml:space="preserve"> Here, the singular</w:t>
      </w:r>
      <w:r>
        <w:t xml:space="preserve"> τ</w:t>
      </w:r>
      <w:r>
        <w:rPr>
          <w:rFonts w:ascii="Times New Roman" w:hAnsi="Times New Roman" w:cs="Times New Roman"/>
        </w:rPr>
        <w:t>ὴν σκληροκαρδίαν</w:t>
      </w:r>
      <w:r w:rsidRPr="00F74767">
        <w:t xml:space="preserve"> likely functions as a collective singular. </w:t>
      </w:r>
    </w:p>
  </w:footnote>
  <w:footnote w:id="34">
    <w:p w:rsidR="00912254" w:rsidRPr="00F74767" w:rsidRDefault="00912254" w:rsidP="00386180">
      <w:pPr>
        <w:pStyle w:val="FootnoteText"/>
      </w:pPr>
      <w:r w:rsidRPr="00F74767">
        <w:rPr>
          <w:rStyle w:val="FootnoteReference"/>
        </w:rPr>
        <w:footnoteRef/>
      </w:r>
      <w:r w:rsidRPr="00F74767">
        <w:t xml:space="preserve"> Outside the</w:t>
      </w:r>
      <w:r>
        <w:t xml:space="preserve"> canonical portions only in Sir 16:</w:t>
      </w:r>
      <w:r w:rsidRPr="00F74767">
        <w:t xml:space="preserve">10. Other related terms include </w:t>
      </w:r>
      <w:r>
        <w:t>σκληροκάρδιος (Prov 17:20; Ezek 3:</w:t>
      </w:r>
      <w:r w:rsidRPr="00F74767">
        <w:t>7) and</w:t>
      </w:r>
      <w:r>
        <w:t xml:space="preserve"> σκληροτράχηλος (Exod 33:3, 5; 34:9; Deut 9:6, 13; Prov 29:1 [cf. Sir 16:11; Bar 2:</w:t>
      </w:r>
      <w:r w:rsidRPr="00F74767">
        <w:t>30]). See the discussion in K</w:t>
      </w:r>
      <w:r>
        <w:t>.</w:t>
      </w:r>
      <w:r w:rsidRPr="00F74767">
        <w:t xml:space="preserve"> Berger</w:t>
      </w:r>
      <w:r>
        <w:t>,</w:t>
      </w:r>
      <w:r w:rsidRPr="00F74767">
        <w:t xml:space="preserve"> </w:t>
      </w:r>
      <w:r>
        <w:t>“</w:t>
      </w:r>
      <w:r w:rsidRPr="00F74767">
        <w:t>Harthezigkeit und Gottes Gesetz: Die Vorgeschichte des antijüdischen Vorwurfs in Mc 10:5</w:t>
      </w:r>
      <w:r>
        <w:t>,”</w:t>
      </w:r>
      <w:r w:rsidRPr="00F74767">
        <w:t xml:space="preserve"> </w:t>
      </w:r>
      <w:r w:rsidRPr="00F74767">
        <w:rPr>
          <w:i/>
        </w:rPr>
        <w:t>ZNW</w:t>
      </w:r>
      <w:r w:rsidRPr="00F74767">
        <w:t xml:space="preserve"> 61 (1970</w:t>
      </w:r>
      <w:r>
        <w:t>)</w:t>
      </w:r>
      <w:r w:rsidRPr="00F74767">
        <w:t xml:space="preserve"> 1-47.</w:t>
      </w:r>
    </w:p>
  </w:footnote>
  <w:footnote w:id="35">
    <w:p w:rsidR="00912254" w:rsidRPr="00F74767" w:rsidRDefault="00912254" w:rsidP="00386180">
      <w:pPr>
        <w:pStyle w:val="FootnoteText"/>
      </w:pPr>
      <w:r w:rsidRPr="00F74767">
        <w:rPr>
          <w:rStyle w:val="FootnoteReference"/>
        </w:rPr>
        <w:footnoteRef/>
      </w:r>
      <w:r w:rsidRPr="00F74767">
        <w:t xml:space="preserve"> As confirmed by the </w:t>
      </w:r>
      <w:r w:rsidRPr="00F74767">
        <w:rPr>
          <w:i/>
        </w:rPr>
        <w:t>Thesaurus Linguae Graecae</w:t>
      </w:r>
      <w:r w:rsidRPr="00F74767">
        <w:t xml:space="preserve"> database.</w:t>
      </w:r>
    </w:p>
  </w:footnote>
  <w:footnote w:id="36">
    <w:p w:rsidR="00912254" w:rsidRPr="00F74767" w:rsidRDefault="00912254" w:rsidP="00386180">
      <w:r w:rsidRPr="00F74767">
        <w:rPr>
          <w:rStyle w:val="FootnoteReference"/>
        </w:rPr>
        <w:footnoteRef/>
      </w:r>
      <w:r w:rsidRPr="00F74767">
        <w:t xml:space="preserve"> Cf. Instone-Brewer, </w:t>
      </w:r>
      <w:r w:rsidRPr="00F74767">
        <w:rPr>
          <w:i/>
        </w:rPr>
        <w:t>Divorce and Remarriage in the Bible</w:t>
      </w:r>
      <w:r w:rsidRPr="00F74767">
        <w:t xml:space="preserve">, 145. While a small minority of scholars argues that both </w:t>
      </w:r>
      <w:r>
        <w:t>Jeremiah 3-4 (esp. 3:1) and Deuteronomy 24 (esp. 24:</w:t>
      </w:r>
      <w:r w:rsidRPr="00F74767">
        <w:t xml:space="preserve">1-4) independently draw from the same tradition (e.g. </w:t>
      </w:r>
      <w:r>
        <w:t xml:space="preserve">T.R. Hobbs, </w:t>
      </w:r>
      <w:r>
        <w:rPr>
          <w:rFonts w:ascii="Cambria" w:eastAsia="Cambria" w:hAnsi="Cambria" w:cs="Times New Roman"/>
        </w:rPr>
        <w:t>“</w:t>
      </w:r>
      <w:r w:rsidRPr="00CD4D10">
        <w:rPr>
          <w:rFonts w:ascii="Cambria" w:eastAsia="Cambria" w:hAnsi="Cambria" w:cs="Times New Roman"/>
        </w:rPr>
        <w:t>Jeremiah 3.1-5 and Deuteronomy 24.1-4</w:t>
      </w:r>
      <w:r>
        <w:rPr>
          <w:rFonts w:ascii="Cambria" w:eastAsia="Cambria" w:hAnsi="Cambria" w:cs="Times New Roman"/>
        </w:rPr>
        <w:t>,”</w:t>
      </w:r>
      <w:r w:rsidRPr="00CD4D10">
        <w:rPr>
          <w:rFonts w:ascii="Cambria" w:eastAsia="Cambria" w:hAnsi="Cambria" w:cs="Times New Roman"/>
        </w:rPr>
        <w:t xml:space="preserve"> </w:t>
      </w:r>
      <w:r w:rsidRPr="00CD4D10">
        <w:rPr>
          <w:rFonts w:ascii="Cambria" w:eastAsia="Cambria" w:hAnsi="Cambria" w:cs="Times New Roman"/>
          <w:i/>
        </w:rPr>
        <w:t>ZAW</w:t>
      </w:r>
      <w:r w:rsidRPr="00CD4D10">
        <w:rPr>
          <w:rFonts w:ascii="Cambria" w:eastAsia="Cambria" w:hAnsi="Cambria" w:cs="Times New Roman"/>
        </w:rPr>
        <w:t xml:space="preserve"> 86</w:t>
      </w:r>
      <w:r>
        <w:rPr>
          <w:rFonts w:ascii="Cambria" w:eastAsia="Cambria" w:hAnsi="Cambria" w:cs="Times New Roman"/>
        </w:rPr>
        <w:t xml:space="preserve"> [1974]</w:t>
      </w:r>
      <w:r w:rsidRPr="00CD4D10">
        <w:rPr>
          <w:rFonts w:ascii="Cambria" w:eastAsia="Cambria" w:hAnsi="Cambria" w:cs="Times New Roman"/>
        </w:rPr>
        <w:t xml:space="preserve"> 23-29</w:t>
      </w:r>
      <w:r w:rsidRPr="00F74767">
        <w:t xml:space="preserve">), many do recognize the dependence of </w:t>
      </w:r>
      <w:r>
        <w:t>Jeremiah 3-4 on Deuteronomy</w:t>
      </w:r>
      <w:r w:rsidRPr="00F74767">
        <w:t xml:space="preserve"> 24 (e.g. </w:t>
      </w:r>
      <w:r>
        <w:t xml:space="preserve">J.D. </w:t>
      </w:r>
      <w:r w:rsidRPr="00F74767">
        <w:t>Martin</w:t>
      </w:r>
      <w:r>
        <w:t>, “</w:t>
      </w:r>
      <w:r w:rsidRPr="00CD4D10">
        <w:t>The Forensic Background to Jeremiah iii. 1,</w:t>
      </w:r>
      <w:r>
        <w:t>”</w:t>
      </w:r>
      <w:r w:rsidRPr="00CD4D10">
        <w:t xml:space="preserve"> </w:t>
      </w:r>
      <w:r w:rsidRPr="00CD4D10">
        <w:rPr>
          <w:i/>
        </w:rPr>
        <w:t>VT</w:t>
      </w:r>
      <w:r>
        <w:t xml:space="preserve"> 19 [1969]</w:t>
      </w:r>
      <w:r w:rsidRPr="00F74767">
        <w:t xml:space="preserve"> 82-92; </w:t>
      </w:r>
      <w:r>
        <w:t xml:space="preserve">J.R. </w:t>
      </w:r>
      <w:r w:rsidRPr="00F74767">
        <w:t>Lundbom</w:t>
      </w:r>
      <w:r>
        <w:t xml:space="preserve">, </w:t>
      </w:r>
      <w:r w:rsidRPr="00CD4D10">
        <w:rPr>
          <w:i/>
        </w:rPr>
        <w:t>Jeremiah 1-20</w:t>
      </w:r>
      <w:r>
        <w:t xml:space="preserve"> [</w:t>
      </w:r>
      <w:r w:rsidRPr="00CD4D10">
        <w:t>AB 21a; New York: Doubleday</w:t>
      </w:r>
      <w:r>
        <w:t>, 1999] 300</w:t>
      </w:r>
      <w:r w:rsidRPr="00CD4D10">
        <w:t>).</w:t>
      </w:r>
      <w:r>
        <w:t xml:space="preserve"> </w:t>
      </w:r>
      <w:r w:rsidRPr="00F74767">
        <w:t xml:space="preserve">The minor differences between </w:t>
      </w:r>
      <w:r>
        <w:t>Jer 3:1 and Deut 24:</w:t>
      </w:r>
      <w:r w:rsidRPr="00F74767">
        <w:t xml:space="preserve">1-4 </w:t>
      </w:r>
      <w:r>
        <w:t>“</w:t>
      </w:r>
      <w:r w:rsidRPr="00F74767">
        <w:t>occur in the hortatory-paraenetic conclusion, not in the technical and operative sections of the legal topos</w:t>
      </w:r>
      <w:r>
        <w:t>”</w:t>
      </w:r>
      <w:r w:rsidRPr="00F74767">
        <w:t xml:space="preserve"> (</w:t>
      </w:r>
      <w:r>
        <w:t>M. Fishbane,</w:t>
      </w:r>
      <w:r w:rsidRPr="00251AAE">
        <w:rPr>
          <w:i/>
        </w:rPr>
        <w:t xml:space="preserve"> </w:t>
      </w:r>
      <w:r w:rsidRPr="005A0774">
        <w:rPr>
          <w:i/>
        </w:rPr>
        <w:t>Biblical Interpretation in Ancient Israel</w:t>
      </w:r>
      <w:r>
        <w:t xml:space="preserve"> [</w:t>
      </w:r>
      <w:r w:rsidRPr="005A0774">
        <w:t>Oxford: Clarendon</w:t>
      </w:r>
      <w:r>
        <w:t xml:space="preserve">, 1988] </w:t>
      </w:r>
      <w:r w:rsidRPr="00F74767">
        <w:t>311).</w:t>
      </w:r>
    </w:p>
  </w:footnote>
  <w:footnote w:id="37">
    <w:p w:rsidR="00912254" w:rsidRPr="00F74767" w:rsidRDefault="00912254" w:rsidP="00386180">
      <w:pPr>
        <w:pStyle w:val="FootnoteText"/>
      </w:pPr>
      <w:r w:rsidRPr="00F74767">
        <w:rPr>
          <w:rStyle w:val="FootnoteReference"/>
        </w:rPr>
        <w:footnoteRef/>
      </w:r>
      <w:r w:rsidRPr="00F74767">
        <w:t xml:space="preserve"> M</w:t>
      </w:r>
      <w:r>
        <w:t>.</w:t>
      </w:r>
      <w:r w:rsidRPr="00F74767">
        <w:t xml:space="preserve">I. Gruber, </w:t>
      </w:r>
      <w:r>
        <w:t>“</w:t>
      </w:r>
      <w:r w:rsidRPr="00F74767">
        <w:t>Jeremiah 3:1-4:2 between Deuteronomy 24 and Matthew 5: Jeremiah’s Exercise in Ethical Criticism</w:t>
      </w:r>
      <w:r>
        <w:t>,”</w:t>
      </w:r>
      <w:r w:rsidRPr="00F74767">
        <w:t xml:space="preserve"> in </w:t>
      </w:r>
      <w:r w:rsidRPr="00F74767">
        <w:rPr>
          <w:i/>
        </w:rPr>
        <w:t>Birkat Shalom: Studies in the Bible, Ancient Near Eastern Literature, and Postbiblical Judaism Presented to Shalom M. Paul on the Occasion of His Seventieth Birthday</w:t>
      </w:r>
      <w:r w:rsidRPr="00F74767">
        <w:t>, vol. 1 (ed. C</w:t>
      </w:r>
      <w:r>
        <w:t>. Cohen et al.; Winona Lake, IN</w:t>
      </w:r>
      <w:r w:rsidRPr="00F74767">
        <w:t>: Eisenbrauns, 2008</w:t>
      </w:r>
      <w:r>
        <w:t>)</w:t>
      </w:r>
      <w:r w:rsidRPr="00F74767">
        <w:t xml:space="preserve"> 239-</w:t>
      </w:r>
      <w:r>
        <w:t>2</w:t>
      </w:r>
      <w:r w:rsidRPr="00F74767">
        <w:t>40, further suggests that Jeremia</w:t>
      </w:r>
      <w:r>
        <w:t>h is directly quoting from Deut 24:</w:t>
      </w:r>
      <w:r w:rsidRPr="00F74767">
        <w:t>1-4, and</w:t>
      </w:r>
      <w:r>
        <w:t xml:space="preserve"> </w:t>
      </w:r>
      <w:r>
        <w:rPr>
          <w:rFonts w:ascii="Times New Roman" w:hAnsi="Times New Roman" w:cs="Times New Roman" w:hint="cs"/>
          <w:lang w:bidi="he-IL"/>
        </w:rPr>
        <w:t>לאמר</w:t>
      </w:r>
      <w:r w:rsidRPr="00F74767">
        <w:t xml:space="preserve"> in </w:t>
      </w:r>
      <w:r>
        <w:t>Jer 3:</w:t>
      </w:r>
      <w:r w:rsidRPr="00F74767">
        <w:t xml:space="preserve">1 should be rendered as </w:t>
      </w:r>
      <w:r>
        <w:t>“</w:t>
      </w:r>
      <w:r w:rsidRPr="00F74767">
        <w:t>it is stated in Scripture.</w:t>
      </w:r>
      <w:r>
        <w:t>”</w:t>
      </w:r>
    </w:p>
  </w:footnote>
  <w:footnote w:id="38">
    <w:p w:rsidR="00912254" w:rsidRPr="00F74767" w:rsidRDefault="00912254" w:rsidP="00386180">
      <w:pPr>
        <w:pStyle w:val="FootnoteText"/>
      </w:pPr>
      <w:r w:rsidRPr="00F74767">
        <w:rPr>
          <w:rStyle w:val="FootnoteReference"/>
        </w:rPr>
        <w:footnoteRef/>
      </w:r>
      <w:r w:rsidRPr="00F74767">
        <w:t xml:space="preserve"> The name “Jerem</w:t>
      </w:r>
      <w:r>
        <w:t>iah” only appears in Matthew (2:17; 16:14; 27:</w:t>
      </w:r>
      <w:r w:rsidRPr="00F74767">
        <w:t>9) among the New Testament writers. For the wider significance of Jeremiah in Matthew’s Gospel, see M</w:t>
      </w:r>
      <w:r>
        <w:t>.</w:t>
      </w:r>
      <w:r w:rsidRPr="00F74767">
        <w:t xml:space="preserve"> Knowles, </w:t>
      </w:r>
      <w:r w:rsidRPr="00F74767">
        <w:rPr>
          <w:i/>
        </w:rPr>
        <w:t>Jeremiah in Matthew’s Gospel: The Rejected Prophet Motif in Matthaean Redaction</w:t>
      </w:r>
      <w:r>
        <w:t xml:space="preserve"> (JSNTSup</w:t>
      </w:r>
      <w:r w:rsidRPr="00F74767">
        <w:t xml:space="preserve"> 68; Sheffield: JSOT, 1993).</w:t>
      </w:r>
    </w:p>
  </w:footnote>
  <w:footnote w:id="39">
    <w:p w:rsidR="00912254" w:rsidRPr="00F74767" w:rsidRDefault="00912254" w:rsidP="00386180">
      <w:pPr>
        <w:pStyle w:val="FootnoteText"/>
      </w:pPr>
      <w:r w:rsidRPr="00F74767">
        <w:rPr>
          <w:rStyle w:val="FootnoteReference"/>
        </w:rPr>
        <w:footnoteRef/>
      </w:r>
      <w:r w:rsidRPr="00F74767">
        <w:t xml:space="preserve"> Moving beyond traditional redaction-critical concerns, Matthew’s theology should not be limited to only the uniquely Matthean material. The next section on Hosea will show, however, that the uniquely Matthean material does support a further development beyond the Markan material.</w:t>
      </w:r>
    </w:p>
  </w:footnote>
  <w:footnote w:id="40">
    <w:p w:rsidR="00912254" w:rsidRPr="00F74767" w:rsidRDefault="00912254" w:rsidP="00386180">
      <w:pPr>
        <w:pStyle w:val="FootnoteText"/>
      </w:pPr>
      <w:r w:rsidRPr="00F74767">
        <w:rPr>
          <w:rStyle w:val="FootnoteReference"/>
        </w:rPr>
        <w:footnoteRef/>
      </w:r>
      <w:r w:rsidRPr="00F74767">
        <w:t xml:space="preserve"> One can also trace the</w:t>
      </w:r>
      <w:r>
        <w:t xml:space="preserve"> beginning of this section to 2:</w:t>
      </w:r>
      <w:r w:rsidRPr="00F74767">
        <w:t>1-9 where the marriage of Israel to her husband YHWH is located in the Sinai event (cf. A</w:t>
      </w:r>
      <w:r>
        <w:t>.</w:t>
      </w:r>
      <w:r w:rsidRPr="00F74767">
        <w:t xml:space="preserve"> Miglio</w:t>
      </w:r>
      <w:r>
        <w:t>,</w:t>
      </w:r>
      <w:r w:rsidRPr="00F74767">
        <w:t xml:space="preserve"> </w:t>
      </w:r>
      <w:r>
        <w:rPr>
          <w:rFonts w:ascii="Cambria" w:eastAsia="Cambria" w:hAnsi="Cambria" w:cs="Times New Roman"/>
        </w:rPr>
        <w:t>“</w:t>
      </w:r>
      <w:r w:rsidRPr="00F74767">
        <w:rPr>
          <w:rFonts w:ascii="Cambria" w:eastAsia="Cambria" w:hAnsi="Cambria" w:cs="Times New Roman"/>
        </w:rPr>
        <w:t>Ordeal, Infidelity, and Prophetic Irony in Jeremiah 2,1-9</w:t>
      </w:r>
      <w:r>
        <w:rPr>
          <w:rFonts w:ascii="Cambria" w:eastAsia="Cambria" w:hAnsi="Cambria" w:cs="Times New Roman"/>
        </w:rPr>
        <w:t>,”</w:t>
      </w:r>
      <w:r w:rsidRPr="00F74767">
        <w:rPr>
          <w:rFonts w:ascii="Cambria" w:eastAsia="Cambria" w:hAnsi="Cambria" w:cs="Times New Roman"/>
        </w:rPr>
        <w:t xml:space="preserve"> </w:t>
      </w:r>
      <w:r w:rsidRPr="00F74767">
        <w:rPr>
          <w:rFonts w:ascii="Cambria" w:eastAsia="Cambria" w:hAnsi="Cambria" w:cs="Times New Roman"/>
          <w:i/>
        </w:rPr>
        <w:t>SJOT</w:t>
      </w:r>
      <w:r w:rsidRPr="00F74767">
        <w:rPr>
          <w:rFonts w:ascii="Cambria" w:eastAsia="Cambria" w:hAnsi="Cambria" w:cs="Times New Roman"/>
        </w:rPr>
        <w:t xml:space="preserve"> 24 [2010]</w:t>
      </w:r>
      <w:r w:rsidRPr="00F74767">
        <w:t xml:space="preserve"> 222-34).</w:t>
      </w:r>
    </w:p>
  </w:footnote>
  <w:footnote w:id="41">
    <w:p w:rsidR="00912254" w:rsidRPr="00F74767" w:rsidRDefault="00912254" w:rsidP="00386180">
      <w:pPr>
        <w:pStyle w:val="FootnoteText"/>
      </w:pPr>
      <w:r w:rsidRPr="00F74767">
        <w:rPr>
          <w:rStyle w:val="FootnoteReference"/>
        </w:rPr>
        <w:footnoteRef/>
      </w:r>
      <w:r w:rsidRPr="00F74767">
        <w:t xml:space="preserve"> In this article, English translation of the LXX is taken from the </w:t>
      </w:r>
      <w:r w:rsidRPr="00F74767">
        <w:rPr>
          <w:i/>
        </w:rPr>
        <w:t xml:space="preserve">New English Translation of the Septuagint </w:t>
      </w:r>
      <w:r w:rsidRPr="00F74767">
        <w:t>unless otherwise noted.</w:t>
      </w:r>
    </w:p>
  </w:footnote>
  <w:footnote w:id="42">
    <w:p w:rsidR="00912254" w:rsidRPr="00F74767" w:rsidRDefault="00912254" w:rsidP="00386180">
      <w:pPr>
        <w:pStyle w:val="FootnoteText"/>
      </w:pPr>
      <w:r w:rsidRPr="00F74767">
        <w:rPr>
          <w:rStyle w:val="FootnoteReference"/>
        </w:rPr>
        <w:footnoteRef/>
      </w:r>
      <w:r w:rsidRPr="00F74767">
        <w:t xml:space="preserve"> NETS has </w:t>
      </w:r>
      <w:r>
        <w:t>“</w:t>
      </w:r>
      <w:r w:rsidRPr="00F74767">
        <w:t>a document of dismissal</w:t>
      </w:r>
      <w:r>
        <w:t>”</w:t>
      </w:r>
      <w:r w:rsidRPr="00F74767">
        <w:t xml:space="preserve"> here, but the word</w:t>
      </w:r>
      <w:r>
        <w:t xml:space="preserve"> </w:t>
      </w:r>
      <w:r>
        <w:rPr>
          <w:rFonts w:ascii="Times New Roman" w:hAnsi="Times New Roman" w:cs="Times New Roman"/>
        </w:rPr>
        <w:t>ἀποστασίου</w:t>
      </w:r>
      <w:r w:rsidRPr="00F74767">
        <w:t xml:space="preserve"> in this context should be taken as a technical term for a </w:t>
      </w:r>
      <w:r>
        <w:t>“</w:t>
      </w:r>
      <w:r w:rsidRPr="00F74767">
        <w:t>notice of divorce</w:t>
      </w:r>
      <w:r>
        <w:t>”</w:t>
      </w:r>
      <w:r w:rsidRPr="00F74767">
        <w:t xml:space="preserve"> (BDAG,</w:t>
      </w:r>
      <w:r>
        <w:t xml:space="preserve"> s.v. </w:t>
      </w:r>
      <w:r>
        <w:rPr>
          <w:rFonts w:ascii="Times New Roman" w:hAnsi="Times New Roman" w:cs="Times New Roman"/>
        </w:rPr>
        <w:t>ἀποστάσιον</w:t>
      </w:r>
      <w:r w:rsidRPr="00F74767">
        <w:t>).</w:t>
      </w:r>
    </w:p>
  </w:footnote>
  <w:footnote w:id="43">
    <w:p w:rsidR="00912254" w:rsidRPr="00F74767" w:rsidRDefault="00912254" w:rsidP="00386180">
      <w:pPr>
        <w:pStyle w:val="FootnoteText"/>
      </w:pPr>
      <w:r w:rsidRPr="00F74767">
        <w:rPr>
          <w:rStyle w:val="FootnoteReference"/>
        </w:rPr>
        <w:footnoteRef/>
      </w:r>
      <w:r w:rsidRPr="00F74767">
        <w:t xml:space="preserve"> The motif of hard-heartedness is frequently applied to God’s people when they were disobedient to God’s commandments (Berger, </w:t>
      </w:r>
      <w:r>
        <w:t>“</w:t>
      </w:r>
      <w:r w:rsidRPr="00F74767">
        <w:t>Harthezigkeit und Gottes Gesetz</w:t>
      </w:r>
      <w:r>
        <w:t>,”</w:t>
      </w:r>
      <w:r w:rsidRPr="00F74767">
        <w:t xml:space="preserve"> 43). In </w:t>
      </w:r>
      <w:r>
        <w:t>Matt</w:t>
      </w:r>
      <w:r w:rsidRPr="00F74767">
        <w:t xml:space="preserve"> </w:t>
      </w:r>
      <w:r>
        <w:t>19:</w:t>
      </w:r>
      <w:r w:rsidRPr="00F74767">
        <w:t xml:space="preserve">1-12, while the focus is on </w:t>
      </w:r>
      <w:r>
        <w:t>the Mosaic stipulations of Deut 24:</w:t>
      </w:r>
      <w:r w:rsidRPr="00F74767">
        <w:t xml:space="preserve">1-4, this motif is also applied to their rebellion against God’s created order (cf. vv. 4-5). Both aspects can also be found in relations to this theme in Second Temple Jewish literature (cf. </w:t>
      </w:r>
      <w:r w:rsidRPr="00F74767">
        <w:rPr>
          <w:i/>
        </w:rPr>
        <w:t>1 En</w:t>
      </w:r>
      <w:r>
        <w:t>. 1:9-54; 5:</w:t>
      </w:r>
      <w:r w:rsidRPr="00F74767">
        <w:t xml:space="preserve">4; see </w:t>
      </w:r>
      <w:r>
        <w:t xml:space="preserve">L. </w:t>
      </w:r>
      <w:r w:rsidRPr="00F74767">
        <w:t>Doering</w:t>
      </w:r>
      <w:r>
        <w:t>,</w:t>
      </w:r>
      <w:r w:rsidRPr="00F74767">
        <w:t xml:space="preserve"> </w:t>
      </w:r>
      <w:r>
        <w:t>“</w:t>
      </w:r>
      <w:r w:rsidRPr="005A0774">
        <w:t>Marriage and</w:t>
      </w:r>
      <w:r>
        <w:t xml:space="preserve"> Creation in Mark 10 and CD 4-5,” in</w:t>
      </w:r>
      <w:r w:rsidRPr="005A0774">
        <w:t xml:space="preserve"> </w:t>
      </w:r>
      <w:r w:rsidRPr="005A0774">
        <w:rPr>
          <w:i/>
        </w:rPr>
        <w:t>Echoes from the Caves: Qumran and the New Testament</w:t>
      </w:r>
      <w:r>
        <w:t xml:space="preserve"> [ed. F.G.</w:t>
      </w:r>
      <w:r w:rsidRPr="005A0774">
        <w:t xml:space="preserve"> Martínez</w:t>
      </w:r>
      <w:r>
        <w:t>; STDJ 85; Leiden/Brill, 2009]</w:t>
      </w:r>
      <w:r w:rsidRPr="00F74767">
        <w:t xml:space="preserve"> 159-</w:t>
      </w:r>
      <w:r>
        <w:t>1</w:t>
      </w:r>
      <w:r w:rsidRPr="00F74767">
        <w:t>60).</w:t>
      </w:r>
    </w:p>
  </w:footnote>
  <w:footnote w:id="44">
    <w:p w:rsidR="00912254" w:rsidRPr="00F74767" w:rsidRDefault="00912254" w:rsidP="00386180">
      <w:pPr>
        <w:pStyle w:val="FootnoteText"/>
      </w:pPr>
      <w:r w:rsidRPr="00F74767">
        <w:rPr>
          <w:rStyle w:val="FootnoteReference"/>
        </w:rPr>
        <w:footnoteRef/>
      </w:r>
      <w:r w:rsidRPr="00F74767">
        <w:t xml:space="preserve"> Here, the noun</w:t>
      </w:r>
      <w:r>
        <w:t xml:space="preserve"> μοιχαλίς</w:t>
      </w:r>
      <w:r w:rsidRPr="008423F0">
        <w:t xml:space="preserve"> </w:t>
      </w:r>
      <w:r w:rsidRPr="00F74767">
        <w:t>(</w:t>
      </w:r>
      <w:r>
        <w:t>“</w:t>
      </w:r>
      <w:r w:rsidRPr="00F74767">
        <w:t>adulteress</w:t>
      </w:r>
      <w:r>
        <w:t>”</w:t>
      </w:r>
      <w:r w:rsidRPr="00F74767">
        <w:t>) functions as an adjective (</w:t>
      </w:r>
      <w:r>
        <w:t>“</w:t>
      </w:r>
      <w:r w:rsidRPr="00F74767">
        <w:t>adulterous</w:t>
      </w:r>
      <w:r>
        <w:t>”</w:t>
      </w:r>
      <w:r w:rsidRPr="00F74767">
        <w:t>).</w:t>
      </w:r>
    </w:p>
  </w:footnote>
  <w:footnote w:id="45">
    <w:p w:rsidR="00912254" w:rsidRPr="00F74767" w:rsidRDefault="00912254" w:rsidP="00386180">
      <w:pPr>
        <w:pStyle w:val="FootnoteText"/>
      </w:pPr>
      <w:r w:rsidRPr="00F74767">
        <w:rPr>
          <w:rStyle w:val="FootnoteReference"/>
        </w:rPr>
        <w:footnoteRef/>
      </w:r>
      <w:r w:rsidRPr="00F74767">
        <w:t xml:space="preserve"> Our focus in this section is limited to</w:t>
      </w:r>
      <w:r>
        <w:t xml:space="preserve"> πονηρός</w:t>
      </w:r>
      <w:r w:rsidRPr="00F74767">
        <w:t xml:space="preserve"> and</w:t>
      </w:r>
      <w:r>
        <w:t xml:space="preserve"> μοιχαλίς</w:t>
      </w:r>
      <w:r w:rsidRPr="00F74767">
        <w:t>. For a helpful discussion of</w:t>
      </w:r>
      <w:r>
        <w:t xml:space="preserve"> γενεά</w:t>
      </w:r>
      <w:r w:rsidRPr="00F74767">
        <w:t xml:space="preserve">, see </w:t>
      </w:r>
      <w:r>
        <w:t xml:space="preserve">E. </w:t>
      </w:r>
      <w:r w:rsidRPr="00F74767">
        <w:t>Lövestam</w:t>
      </w:r>
      <w:r>
        <w:t>,</w:t>
      </w:r>
      <w:r w:rsidRPr="00F74767">
        <w:t xml:space="preserve"> </w:t>
      </w:r>
      <w:r w:rsidRPr="005A0774">
        <w:rPr>
          <w:i/>
        </w:rPr>
        <w:t>Jesus and ‘This Generation’: A New Testament Study</w:t>
      </w:r>
      <w:r w:rsidRPr="005A0774">
        <w:t xml:space="preserve"> (trans. M</w:t>
      </w:r>
      <w:r>
        <w:t>.</w:t>
      </w:r>
      <w:r w:rsidRPr="005A0774">
        <w:t xml:space="preserve"> Linnarud; Stockholm: Almqvist &amp; Wiksell</w:t>
      </w:r>
      <w:r>
        <w:t>,</w:t>
      </w:r>
      <w:r w:rsidRPr="00F74767">
        <w:t xml:space="preserve"> 1995</w:t>
      </w:r>
      <w:r>
        <w:t>)</w:t>
      </w:r>
      <w:r w:rsidRPr="00F74767">
        <w:t xml:space="preserve"> 18-36, who examines this term against the flood and wilderness typologies.</w:t>
      </w:r>
    </w:p>
  </w:footnote>
  <w:footnote w:id="46">
    <w:p w:rsidR="00912254" w:rsidRDefault="00912254" w:rsidP="00386180">
      <w:pPr>
        <w:pStyle w:val="FootnoteText"/>
      </w:pPr>
      <w:r>
        <w:rPr>
          <w:rStyle w:val="FootnoteReference"/>
        </w:rPr>
        <w:footnoteRef/>
      </w:r>
      <w:r>
        <w:t xml:space="preserve"> Cf. Collins, </w:t>
      </w:r>
      <w:r w:rsidRPr="00DA7B1D">
        <w:rPr>
          <w:i/>
        </w:rPr>
        <w:t>Mark</w:t>
      </w:r>
      <w:r>
        <w:t>, 411.</w:t>
      </w:r>
    </w:p>
  </w:footnote>
  <w:footnote w:id="47">
    <w:p w:rsidR="00912254" w:rsidRPr="00F74767" w:rsidRDefault="00912254" w:rsidP="00386180">
      <w:r w:rsidRPr="00F74767">
        <w:rPr>
          <w:rStyle w:val="FootnoteReference"/>
        </w:rPr>
        <w:footnoteRef/>
      </w:r>
      <w:r w:rsidRPr="00F74767">
        <w:t xml:space="preserve"> </w:t>
      </w:r>
      <w:r>
        <w:t xml:space="preserve">See W.L. Holladay, </w:t>
      </w:r>
      <w:r w:rsidRPr="005A0774">
        <w:rPr>
          <w:i/>
        </w:rPr>
        <w:t>Jeremiah 1</w:t>
      </w:r>
      <w:r w:rsidRPr="005A0774">
        <w:t xml:space="preserve"> (Herm</w:t>
      </w:r>
      <w:r>
        <w:t xml:space="preserve">eneia; Philadelphia: Fortress, 1986) 112. </w:t>
      </w:r>
      <w:r w:rsidRPr="00F74767">
        <w:t xml:space="preserve">See, in particular, </w:t>
      </w:r>
      <w:r>
        <w:t>Hos 5:</w:t>
      </w:r>
      <w:r w:rsidRPr="00F74767">
        <w:t xml:space="preserve">4a: </w:t>
      </w:r>
      <w:r>
        <w:t>“</w:t>
      </w:r>
      <w:r w:rsidRPr="00F74767">
        <w:t>Their deeds do not permit them to return to their God</w:t>
      </w:r>
      <w:r>
        <w:t>” (cf. Deut 24:</w:t>
      </w:r>
      <w:r w:rsidRPr="00F74767">
        <w:t>4).</w:t>
      </w:r>
    </w:p>
  </w:footnote>
  <w:footnote w:id="48">
    <w:p w:rsidR="00912254" w:rsidRPr="00F74767" w:rsidRDefault="00912254" w:rsidP="00386180">
      <w:pPr>
        <w:pStyle w:val="FootnoteText"/>
      </w:pPr>
      <w:r w:rsidRPr="00F74767">
        <w:rPr>
          <w:rStyle w:val="FootnoteReference"/>
        </w:rPr>
        <w:footnoteRef/>
      </w:r>
      <w:r w:rsidRPr="00F74767">
        <w:t xml:space="preserve"> </w:t>
      </w:r>
      <w:r>
        <w:t>See Fishbane,</w:t>
      </w:r>
      <w:r w:rsidRPr="00251AAE">
        <w:rPr>
          <w:i/>
        </w:rPr>
        <w:t xml:space="preserve"> </w:t>
      </w:r>
      <w:r w:rsidRPr="005A0774">
        <w:rPr>
          <w:i/>
        </w:rPr>
        <w:t>Biblical Interpretation in Ancient Israel</w:t>
      </w:r>
      <w:r>
        <w:t xml:space="preserve">, 311-312; M. Schulz-Rauch, </w:t>
      </w:r>
      <w:r w:rsidRPr="005A0774">
        <w:rPr>
          <w:i/>
          <w:lang w:val="de-DE"/>
        </w:rPr>
        <w:t xml:space="preserve">Hosea und Jeremia: Zur Wirkungsgeschichte des Hoseabuches </w:t>
      </w:r>
      <w:r>
        <w:rPr>
          <w:lang w:val="de-DE"/>
        </w:rPr>
        <w:t>(CTM A16; Stuttgart: Calwer, 1996)</w:t>
      </w:r>
      <w:r w:rsidRPr="005A0774">
        <w:t>.</w:t>
      </w:r>
      <w:r>
        <w:t xml:space="preserve"> It should be noted, however, that</w:t>
      </w:r>
      <w:r w:rsidRPr="00F74767">
        <w:t xml:space="preserve"> both authors develop this imagery in their unique ways, see </w:t>
      </w:r>
      <w:r>
        <w:t xml:space="preserve">S. </w:t>
      </w:r>
      <w:r w:rsidRPr="00F74767">
        <w:t>Moughtin-Mumby</w:t>
      </w:r>
      <w:r>
        <w:t>,</w:t>
      </w:r>
      <w:r w:rsidRPr="00F74767">
        <w:t xml:space="preserve"> </w:t>
      </w:r>
      <w:r w:rsidRPr="005A0774">
        <w:rPr>
          <w:i/>
        </w:rPr>
        <w:t>Sexual and Marital Metaphors in Hosea, Jeremiah, Isaiah, and Ezekiel</w:t>
      </w:r>
      <w:r w:rsidRPr="005A0774">
        <w:t xml:space="preserve"> (O</w:t>
      </w:r>
      <w:r>
        <w:t>xford: Oxford University Press, 2008)</w:t>
      </w:r>
      <w:r w:rsidRPr="00F74767">
        <w:t xml:space="preserve"> 49-116.</w:t>
      </w:r>
    </w:p>
  </w:footnote>
  <w:footnote w:id="49">
    <w:p w:rsidR="00912254" w:rsidRPr="00F74767" w:rsidRDefault="00912254" w:rsidP="00386180">
      <w:pPr>
        <w:pStyle w:val="FootnoteText"/>
      </w:pPr>
      <w:r w:rsidRPr="00F74767">
        <w:rPr>
          <w:rStyle w:val="FootnoteReference"/>
        </w:rPr>
        <w:footnoteRef/>
      </w:r>
      <w:r w:rsidRPr="00F74767">
        <w:t xml:space="preserve"> In the prophetic traditions, the understanding of adultery as covenantal infidelity is of course not limited</w:t>
      </w:r>
      <w:r>
        <w:t xml:space="preserve"> to Hosea and Jeremiah (cf. Isa 50:1; Ezek</w:t>
      </w:r>
      <w:r w:rsidRPr="00F74767">
        <w:t xml:space="preserve"> 16, 23, 43), but it is primarily in these two works that one finds a clear u</w:t>
      </w:r>
      <w:r>
        <w:t>se of Deut 24:</w:t>
      </w:r>
      <w:r w:rsidRPr="00F74767">
        <w:t>1-4 in the detailed exposition of the possibility of God divorcing his covenantal partner.</w:t>
      </w:r>
    </w:p>
  </w:footnote>
  <w:footnote w:id="50">
    <w:p w:rsidR="00912254" w:rsidRDefault="00912254" w:rsidP="00386180">
      <w:pPr>
        <w:pStyle w:val="FootnoteText"/>
      </w:pPr>
      <w:r>
        <w:rPr>
          <w:rStyle w:val="FootnoteReference"/>
        </w:rPr>
        <w:footnoteRef/>
      </w:r>
      <w:r>
        <w:t xml:space="preserve"> Lövestam, “</w:t>
      </w:r>
      <w:r w:rsidRPr="005A0774">
        <w:t xml:space="preserve">Divorce and </w:t>
      </w:r>
      <w:r>
        <w:t>Remarriage in the New Testament,” 59.</w:t>
      </w:r>
    </w:p>
  </w:footnote>
  <w:footnote w:id="51">
    <w:p w:rsidR="00912254" w:rsidRDefault="00912254" w:rsidP="00386180">
      <w:pPr>
        <w:pStyle w:val="FootnoteText"/>
      </w:pPr>
      <w:r>
        <w:rPr>
          <w:rStyle w:val="FootnoteReference"/>
        </w:rPr>
        <w:footnoteRef/>
      </w:r>
      <w:r>
        <w:t xml:space="preserve"> Cf. G.H. Hugenberger, </w:t>
      </w:r>
      <w:r w:rsidRPr="005A0774">
        <w:rPr>
          <w:i/>
        </w:rPr>
        <w:t>Marriage as a Covenant: Biblical Law and Ethics as Developed from Malachi</w:t>
      </w:r>
      <w:r>
        <w:t xml:space="preserve"> (VTSup</w:t>
      </w:r>
      <w:r w:rsidRPr="005A0774">
        <w:t xml:space="preserve"> 52; Leiden: Brill</w:t>
      </w:r>
      <w:r>
        <w:t>, 1994).</w:t>
      </w:r>
    </w:p>
  </w:footnote>
  <w:footnote w:id="52">
    <w:p w:rsidR="00912254" w:rsidRPr="00F74767" w:rsidRDefault="00912254" w:rsidP="00386180">
      <w:pPr>
        <w:pStyle w:val="FootnoteText"/>
      </w:pPr>
      <w:r w:rsidRPr="00F74767">
        <w:rPr>
          <w:rStyle w:val="FootnoteReference"/>
        </w:rPr>
        <w:footnoteRef/>
      </w:r>
      <w:r w:rsidRPr="00F74767">
        <w:t xml:space="preserve"> We consider statements concerning Jesu</w:t>
      </w:r>
      <w:r>
        <w:t>s’</w:t>
      </w:r>
      <w:r w:rsidRPr="00F74767">
        <w:t xml:space="preserve"> journey to Jerusalem as markers of major sections in the</w:t>
      </w:r>
      <w:r>
        <w:t xml:space="preserve"> second half of Matthew (cf. 16:21; 17:</w:t>
      </w:r>
      <w:r w:rsidRPr="00F74767">
        <w:t xml:space="preserve">22; </w:t>
      </w:r>
      <w:r>
        <w:t>19:</w:t>
      </w:r>
      <w:r w:rsidRPr="00F74767">
        <w:t xml:space="preserve">1; </w:t>
      </w:r>
      <w:r>
        <w:t>20:</w:t>
      </w:r>
      <w:r w:rsidRPr="00F74767">
        <w:t xml:space="preserve">17; see </w:t>
      </w:r>
      <w:r>
        <w:t xml:space="preserve">Wilhelm </w:t>
      </w:r>
      <w:r w:rsidRPr="00F74767">
        <w:t>Wilkens</w:t>
      </w:r>
      <w:r>
        <w:t>,</w:t>
      </w:r>
      <w:r w:rsidRPr="00F74767">
        <w:t xml:space="preserve"> </w:t>
      </w:r>
      <w:r>
        <w:rPr>
          <w:lang w:val="de-DE"/>
        </w:rPr>
        <w:t>“</w:t>
      </w:r>
      <w:r w:rsidRPr="005A0774">
        <w:rPr>
          <w:lang w:val="de-DE"/>
        </w:rPr>
        <w:t>Die Komposition des Matthäus-Evangeliums</w:t>
      </w:r>
      <w:r>
        <w:rPr>
          <w:lang w:val="de-DE"/>
        </w:rPr>
        <w:t>,”</w:t>
      </w:r>
      <w:r w:rsidRPr="005A0774">
        <w:rPr>
          <w:lang w:val="de-DE"/>
        </w:rPr>
        <w:t xml:space="preserve"> </w:t>
      </w:r>
      <w:r w:rsidRPr="005A0774">
        <w:rPr>
          <w:i/>
          <w:lang w:val="de-DE"/>
        </w:rPr>
        <w:t>NTS</w:t>
      </w:r>
      <w:r>
        <w:rPr>
          <w:lang w:val="de-DE"/>
        </w:rPr>
        <w:t xml:space="preserve"> 31 [</w:t>
      </w:r>
      <w:r w:rsidRPr="00F74767">
        <w:t>1985</w:t>
      </w:r>
      <w:r>
        <w:t>]</w:t>
      </w:r>
      <w:r w:rsidRPr="00F74767">
        <w:t xml:space="preserve"> 24-38; </w:t>
      </w:r>
      <w:r>
        <w:t xml:space="preserve">J. </w:t>
      </w:r>
      <w:r w:rsidRPr="00F74767">
        <w:t>Nolland</w:t>
      </w:r>
      <w:r>
        <w:t>,</w:t>
      </w:r>
      <w:r w:rsidRPr="00F74767">
        <w:t xml:space="preserve"> </w:t>
      </w:r>
      <w:r w:rsidRPr="005A0774">
        <w:rPr>
          <w:i/>
        </w:rPr>
        <w:t>The Gospel of Matthew: A Commentary on the Greek Text</w:t>
      </w:r>
      <w:r>
        <w:t xml:space="preserve"> [NIGTC; Grand Rapids: Eerdmans, 2005]</w:t>
      </w:r>
      <w:r w:rsidRPr="00F74767">
        <w:t xml:space="preserve"> 763). Although consensus is lacking as to where exactly our present section ends, this would not affect our present analysis since we will also consider the wider context of Matthew’s Gospel below.</w:t>
      </w:r>
    </w:p>
  </w:footnote>
  <w:footnote w:id="53">
    <w:p w:rsidR="00912254" w:rsidRDefault="00912254" w:rsidP="00386180">
      <w:pPr>
        <w:pStyle w:val="FootnoteText"/>
      </w:pPr>
      <w:r>
        <w:rPr>
          <w:rStyle w:val="FootnoteReference"/>
        </w:rPr>
        <w:footnoteRef/>
      </w:r>
      <w:r>
        <w:t xml:space="preserve"> U. Luz, </w:t>
      </w:r>
      <w:r w:rsidRPr="005A0774">
        <w:rPr>
          <w:i/>
        </w:rPr>
        <w:t>Matthew 8-20</w:t>
      </w:r>
      <w:r>
        <w:t xml:space="preserve"> (trans. J.</w:t>
      </w:r>
      <w:r w:rsidRPr="005A0774">
        <w:t>E. Crouch; H</w:t>
      </w:r>
      <w:r>
        <w:t>ermeneia; Minneapolis: Fortress, 2001) 484.</w:t>
      </w:r>
    </w:p>
  </w:footnote>
  <w:footnote w:id="54">
    <w:p w:rsidR="00912254" w:rsidRDefault="00912254" w:rsidP="00386180">
      <w:pPr>
        <w:pStyle w:val="FootnoteText"/>
      </w:pPr>
      <w:r>
        <w:rPr>
          <w:rStyle w:val="FootnoteReference"/>
        </w:rPr>
        <w:footnoteRef/>
      </w:r>
      <w:r>
        <w:t xml:space="preserve"> W.F. Albright and C.S. Mann, </w:t>
      </w:r>
      <w:r w:rsidRPr="007F62BA">
        <w:rPr>
          <w:i/>
        </w:rPr>
        <w:t>Matthew</w:t>
      </w:r>
      <w:r>
        <w:t xml:space="preserve"> (AB 26; New York: Doubleday, 1971) 227.</w:t>
      </w:r>
    </w:p>
  </w:footnote>
  <w:footnote w:id="55">
    <w:p w:rsidR="00912254" w:rsidRDefault="00912254" w:rsidP="00386180">
      <w:pPr>
        <w:pStyle w:val="FootnoteText"/>
      </w:pPr>
      <w:r>
        <w:rPr>
          <w:rStyle w:val="FootnoteReference"/>
        </w:rPr>
        <w:footnoteRef/>
      </w:r>
      <w:r>
        <w:t xml:space="preserve"> W.D. Davies and D.C. Allison, Jr., </w:t>
      </w:r>
      <w:r w:rsidRPr="00E269E2">
        <w:rPr>
          <w:i/>
        </w:rPr>
        <w:t>Matthew</w:t>
      </w:r>
      <w:r>
        <w:t>, vol. III (ICC; Edinburgh: T&amp;T Clark, 1997) 27.</w:t>
      </w:r>
    </w:p>
  </w:footnote>
  <w:footnote w:id="56">
    <w:p w:rsidR="00912254" w:rsidRPr="00F74767" w:rsidRDefault="00912254" w:rsidP="00386180">
      <w:pPr>
        <w:pStyle w:val="FootnoteText"/>
      </w:pPr>
      <w:r w:rsidRPr="00F74767">
        <w:rPr>
          <w:rStyle w:val="FootnoteReference"/>
        </w:rPr>
        <w:footnoteRef/>
      </w:r>
      <w:r w:rsidRPr="00F74767">
        <w:t xml:space="preserve"> </w:t>
      </w:r>
      <w:r>
        <w:t xml:space="preserve">W. Carter, </w:t>
      </w:r>
      <w:r w:rsidRPr="005A0774">
        <w:rPr>
          <w:i/>
        </w:rPr>
        <w:t>Households and Discipleship: A Study of Matthew 19-20</w:t>
      </w:r>
      <w:r>
        <w:t xml:space="preserve"> (JSNTSup</w:t>
      </w:r>
      <w:r w:rsidRPr="005A0774">
        <w:t xml:space="preserve"> 103; Sheffield: JSOT, 1994</w:t>
      </w:r>
      <w:r>
        <w:t xml:space="preserve">) 56-160; </w:t>
      </w:r>
      <w:r w:rsidRPr="005A0774">
        <w:rPr>
          <w:i/>
        </w:rPr>
        <w:t>Matthew and the Margins: A Socio-Political and Religious Reading</w:t>
      </w:r>
      <w:r>
        <w:t xml:space="preserve"> (JSNTSup</w:t>
      </w:r>
      <w:r w:rsidRPr="005A0774">
        <w:t xml:space="preserve"> 204; Sheff</w:t>
      </w:r>
      <w:r>
        <w:t xml:space="preserve">ield: Sheffield Academic Press, 2000) 376-398. </w:t>
      </w:r>
      <w:r w:rsidRPr="00F74767">
        <w:t>Commenti</w:t>
      </w:r>
      <w:r>
        <w:t>ng on the Markan parallel in 10:</w:t>
      </w:r>
      <w:r w:rsidRPr="00F74767">
        <w:t xml:space="preserve">1-31, Anderson (1976) has earlier proposed that the shorter Markan section should also be read in light of the Greco-Roman </w:t>
      </w:r>
      <w:r w:rsidRPr="00F74767">
        <w:rPr>
          <w:i/>
        </w:rPr>
        <w:t>Haustafeln</w:t>
      </w:r>
      <w:r w:rsidRPr="00F74767">
        <w:t xml:space="preserve">. </w:t>
      </w:r>
    </w:p>
  </w:footnote>
  <w:footnote w:id="57">
    <w:p w:rsidR="00912254" w:rsidRPr="00F74767" w:rsidRDefault="00912254" w:rsidP="00386180">
      <w:pPr>
        <w:pStyle w:val="FootnoteText"/>
      </w:pPr>
      <w:r w:rsidRPr="00F74767">
        <w:rPr>
          <w:rStyle w:val="FootnoteReference"/>
        </w:rPr>
        <w:footnoteRef/>
      </w:r>
      <w:r w:rsidRPr="00F74767">
        <w:t xml:space="preserve"> Carter</w:t>
      </w:r>
      <w:r>
        <w:t xml:space="preserve">, </w:t>
      </w:r>
      <w:r w:rsidRPr="00220D98">
        <w:rPr>
          <w:i/>
        </w:rPr>
        <w:t>Household and Discipleship</w:t>
      </w:r>
      <w:r>
        <w:t xml:space="preserve">, </w:t>
      </w:r>
      <w:r w:rsidRPr="00F74767">
        <w:t xml:space="preserve">193; </w:t>
      </w:r>
      <w:r w:rsidRPr="00220D98">
        <w:rPr>
          <w:i/>
        </w:rPr>
        <w:t>Matthew and the Margins</w:t>
      </w:r>
      <w:r>
        <w:t>, 376,</w:t>
      </w:r>
      <w:r w:rsidRPr="00F74767">
        <w:t xml:space="preserve"> who considers this section as ending at </w:t>
      </w:r>
      <w:r>
        <w:t>20:</w:t>
      </w:r>
      <w:r w:rsidRPr="00F74767">
        <w:t xml:space="preserve">34, takes </w:t>
      </w:r>
      <w:r>
        <w:t>20:</w:t>
      </w:r>
      <w:r w:rsidRPr="00F74767">
        <w:t xml:space="preserve">1-16 as dealing with the </w:t>
      </w:r>
      <w:r>
        <w:t>“</w:t>
      </w:r>
      <w:r w:rsidRPr="00F74767">
        <w:t>Parable of the Householder</w:t>
      </w:r>
      <w:r>
        <w:t>”</w:t>
      </w:r>
      <w:r w:rsidRPr="00F74767">
        <w:rPr>
          <w:rFonts w:hint="eastAsia"/>
          <w:lang w:eastAsia="zh-TW"/>
        </w:rPr>
        <w:t xml:space="preserve"> </w:t>
      </w:r>
      <w:r w:rsidRPr="00F74767">
        <w:t>and the next dealing with slaves (</w:t>
      </w:r>
      <w:r>
        <w:t>20:</w:t>
      </w:r>
      <w:r w:rsidRPr="00F74767">
        <w:t xml:space="preserve">17-28). Taking </w:t>
      </w:r>
      <w:r>
        <w:t>20:</w:t>
      </w:r>
      <w:r w:rsidRPr="00F74767">
        <w:t xml:space="preserve">16 as the conclusion of our present chapter, </w:t>
      </w:r>
      <w:r>
        <w:t>20:</w:t>
      </w:r>
      <w:r w:rsidRPr="00F74767">
        <w:t xml:space="preserve">1-16 can also be understood as dealing with both householders and those serving under them. </w:t>
      </w:r>
    </w:p>
  </w:footnote>
  <w:footnote w:id="58">
    <w:p w:rsidR="00912254" w:rsidRPr="00F74767" w:rsidRDefault="00912254" w:rsidP="00386180">
      <w:pPr>
        <w:pStyle w:val="FootnoteText"/>
      </w:pPr>
      <w:r w:rsidRPr="00F74767">
        <w:rPr>
          <w:rStyle w:val="FootnoteReference"/>
        </w:rPr>
        <w:footnoteRef/>
      </w:r>
      <w:r w:rsidRPr="00F74767">
        <w:t xml:space="preserve"> This basic structure survives in the Hellenistic codes (Dio Chrysostom 5.348-51; Seneca, </w:t>
      </w:r>
      <w:r w:rsidRPr="00F74767">
        <w:rPr>
          <w:i/>
        </w:rPr>
        <w:t>Ep</w:t>
      </w:r>
      <w:r w:rsidRPr="00F74767">
        <w:t xml:space="preserve">. 94.1; Dionysius of Halicarnassus, </w:t>
      </w:r>
      <w:r w:rsidRPr="00F74767">
        <w:rPr>
          <w:i/>
        </w:rPr>
        <w:t>Ant. rom</w:t>
      </w:r>
      <w:r w:rsidRPr="00F74767">
        <w:t>. 2.25.4-26.4).</w:t>
      </w:r>
    </w:p>
  </w:footnote>
  <w:footnote w:id="59">
    <w:p w:rsidR="00912254" w:rsidRPr="00F74767" w:rsidRDefault="00912254" w:rsidP="00386180">
      <w:pPr>
        <w:pStyle w:val="FootnoteText"/>
      </w:pPr>
      <w:r w:rsidRPr="00F74767">
        <w:rPr>
          <w:rStyle w:val="FootnoteReference"/>
        </w:rPr>
        <w:footnoteRef/>
      </w:r>
      <w:r w:rsidRPr="00F74767">
        <w:t xml:space="preserve"> </w:t>
      </w:r>
      <w:r>
        <w:t xml:space="preserve">Carter, </w:t>
      </w:r>
      <w:r w:rsidRPr="005150BC">
        <w:rPr>
          <w:i/>
        </w:rPr>
        <w:t>Matthew and the Margins</w:t>
      </w:r>
      <w:r>
        <w:t xml:space="preserve">, 377. </w:t>
      </w:r>
      <w:r w:rsidRPr="00F74767">
        <w:t xml:space="preserve">For a further discussion of both the conventional and subversive uses of the Greco-Roman </w:t>
      </w:r>
      <w:r w:rsidRPr="00F74767">
        <w:rPr>
          <w:i/>
        </w:rPr>
        <w:t>Haustafel</w:t>
      </w:r>
      <w:r w:rsidRPr="00F74767">
        <w:t xml:space="preserve"> traditions in the New Testament, see </w:t>
      </w:r>
      <w:r>
        <w:t xml:space="preserve">M.Y. </w:t>
      </w:r>
      <w:r w:rsidRPr="00F74767">
        <w:t>MacDonald</w:t>
      </w:r>
      <w:r>
        <w:t>,</w:t>
      </w:r>
      <w:r w:rsidRPr="00F74767">
        <w:t xml:space="preserve"> </w:t>
      </w:r>
      <w:r>
        <w:t>“</w:t>
      </w:r>
      <w:r w:rsidRPr="005A0774">
        <w:t>Beyond Identification of the Topos of Household Management: Reading the Household Codes in Light of Recent Methodologies and Theoretical Perspectives in the Study of the New Testament</w:t>
      </w:r>
      <w:r>
        <w:t>,”</w:t>
      </w:r>
      <w:r w:rsidRPr="005A0774">
        <w:t xml:space="preserve"> </w:t>
      </w:r>
      <w:r w:rsidRPr="005A0774">
        <w:rPr>
          <w:i/>
        </w:rPr>
        <w:t>NTS</w:t>
      </w:r>
      <w:r>
        <w:t xml:space="preserve"> 57 (</w:t>
      </w:r>
      <w:r w:rsidRPr="00F74767">
        <w:t>2010</w:t>
      </w:r>
      <w:r>
        <w:t>)</w:t>
      </w:r>
      <w:r w:rsidRPr="00F74767">
        <w:t xml:space="preserve"> 65-90.</w:t>
      </w:r>
    </w:p>
  </w:footnote>
  <w:footnote w:id="60">
    <w:p w:rsidR="00912254" w:rsidRPr="00F74767" w:rsidRDefault="00912254" w:rsidP="00386180">
      <w:pPr>
        <w:pStyle w:val="FootnoteText"/>
      </w:pPr>
      <w:r w:rsidRPr="00F74767">
        <w:rPr>
          <w:rStyle w:val="FootnoteReference"/>
        </w:rPr>
        <w:footnoteRef/>
      </w:r>
      <w:r w:rsidRPr="00F74767">
        <w:t xml:space="preserve"> </w:t>
      </w:r>
      <w:r>
        <w:t xml:space="preserve">Carter, </w:t>
      </w:r>
      <w:r w:rsidRPr="00C94A2C">
        <w:rPr>
          <w:i/>
        </w:rPr>
        <w:t>Matthew and the Margins</w:t>
      </w:r>
      <w:r>
        <w:t xml:space="preserve">, 377. </w:t>
      </w:r>
      <w:r w:rsidRPr="00F74767">
        <w:t xml:space="preserve">As noted above, </w:t>
      </w:r>
      <w:r>
        <w:t>Carter</w:t>
      </w:r>
      <w:r w:rsidRPr="00F74767">
        <w:t xml:space="preserve"> considers </w:t>
      </w:r>
      <w:r>
        <w:t>20:</w:t>
      </w:r>
      <w:r w:rsidRPr="00F74767">
        <w:t xml:space="preserve">17-28 to be part of the section that begins with </w:t>
      </w:r>
      <w:r>
        <w:t>19:</w:t>
      </w:r>
      <w:r w:rsidRPr="00F74767">
        <w:t xml:space="preserve">1. Discussion of </w:t>
      </w:r>
      <w:r w:rsidRPr="00F74767">
        <w:rPr>
          <w:rFonts w:hint="eastAsia"/>
          <w:lang w:eastAsia="zh-TW"/>
        </w:rPr>
        <w:t xml:space="preserve">the </w:t>
      </w:r>
      <w:r w:rsidRPr="00F74767">
        <w:t xml:space="preserve">attitude of the laborers in </w:t>
      </w:r>
      <w:r>
        <w:t>20:</w:t>
      </w:r>
      <w:r w:rsidRPr="00F74767">
        <w:t xml:space="preserve">1-16 would fit well within the paradigm of ancient </w:t>
      </w:r>
      <w:r w:rsidRPr="00F74767">
        <w:rPr>
          <w:i/>
        </w:rPr>
        <w:t>Haustafeln</w:t>
      </w:r>
      <w:r w:rsidRPr="00F74767">
        <w:t xml:space="preserve"> since</w:t>
      </w:r>
      <w:r w:rsidRPr="00F74767">
        <w:rPr>
          <w:rFonts w:hint="eastAsia"/>
          <w:lang w:eastAsia="zh-TW"/>
        </w:rPr>
        <w:t>,</w:t>
      </w:r>
      <w:r w:rsidRPr="00F74767">
        <w:t xml:space="preserve"> like the slaves</w:t>
      </w:r>
      <w:r w:rsidRPr="00F74767">
        <w:rPr>
          <w:rFonts w:hint="eastAsia"/>
          <w:lang w:eastAsia="zh-TW"/>
        </w:rPr>
        <w:t>,</w:t>
      </w:r>
      <w:r w:rsidRPr="00F74767">
        <w:t xml:space="preserve"> the laborers in the parable can only be obedient to the householder who has the right to determine the reward to be given to them.</w:t>
      </w:r>
    </w:p>
  </w:footnote>
  <w:footnote w:id="61">
    <w:p w:rsidR="00912254" w:rsidRDefault="00912254" w:rsidP="00386180">
      <w:pPr>
        <w:pStyle w:val="FootnoteText"/>
      </w:pPr>
      <w:r>
        <w:rPr>
          <w:rStyle w:val="FootnoteReference"/>
        </w:rPr>
        <w:footnoteRef/>
      </w:r>
      <w:r>
        <w:t xml:space="preserve"> Carter, </w:t>
      </w:r>
      <w:r w:rsidRPr="00C94A2C">
        <w:rPr>
          <w:i/>
        </w:rPr>
        <w:t>Matthew and the Margins</w:t>
      </w:r>
      <w:r>
        <w:t>, 377.</w:t>
      </w:r>
    </w:p>
  </w:footnote>
  <w:footnote w:id="62">
    <w:p w:rsidR="00912254" w:rsidRDefault="00912254" w:rsidP="00386180">
      <w:pPr>
        <w:pStyle w:val="FootnoteText"/>
      </w:pPr>
      <w:r>
        <w:rPr>
          <w:rStyle w:val="FootnoteReference"/>
        </w:rPr>
        <w:footnoteRef/>
      </w:r>
      <w:r>
        <w:t xml:space="preserve"> D. Patte, </w:t>
      </w:r>
      <w:r w:rsidRPr="005A0774">
        <w:rPr>
          <w:i/>
        </w:rPr>
        <w:t>The Gospel According to Matthew: A Structural Commentary on Matthew’s Gospel</w:t>
      </w:r>
      <w:r>
        <w:t xml:space="preserve"> (Valley Forge, PA</w:t>
      </w:r>
      <w:r w:rsidRPr="005A0774">
        <w:t>: Trinity Press International</w:t>
      </w:r>
      <w:r>
        <w:t>, 1987) 262-63</w:t>
      </w:r>
      <w:r w:rsidRPr="005A0774">
        <w:t>.</w:t>
      </w:r>
    </w:p>
  </w:footnote>
  <w:footnote w:id="63">
    <w:p w:rsidR="00912254" w:rsidRPr="00F74767" w:rsidRDefault="00912254" w:rsidP="00386180">
      <w:pPr>
        <w:pStyle w:val="FootnoteText"/>
      </w:pPr>
      <w:r w:rsidRPr="00F74767">
        <w:rPr>
          <w:rStyle w:val="FootnoteReference"/>
        </w:rPr>
        <w:footnoteRef/>
      </w:r>
      <w:r w:rsidRPr="00F74767">
        <w:t xml:space="preserve"> The intended references behind </w:t>
      </w:r>
      <w:r>
        <w:t>“</w:t>
      </w:r>
      <w:r w:rsidRPr="00F74767">
        <w:t>the first</w:t>
      </w:r>
      <w:r>
        <w:t>”</w:t>
      </w:r>
      <w:r w:rsidRPr="00F74767">
        <w:t xml:space="preserve"> and </w:t>
      </w:r>
      <w:r>
        <w:t>“</w:t>
      </w:r>
      <w:r w:rsidRPr="00F74767">
        <w:t>the last</w:t>
      </w:r>
      <w:r>
        <w:t>”</w:t>
      </w:r>
      <w:r w:rsidRPr="00F74767">
        <w:t xml:space="preserve"> remains unclear. While they can refer to different groups within the church (Luz</w:t>
      </w:r>
      <w:r>
        <w:t>,</w:t>
      </w:r>
      <w:r w:rsidRPr="00F74767">
        <w:t xml:space="preserve"> </w:t>
      </w:r>
      <w:r w:rsidRPr="00C94A2C">
        <w:rPr>
          <w:i/>
        </w:rPr>
        <w:t>Matthew 8-20</w:t>
      </w:r>
      <w:r>
        <w:t>,</w:t>
      </w:r>
      <w:r w:rsidRPr="00F74767">
        <w:t xml:space="preserve"> 536; Nolland</w:t>
      </w:r>
      <w:r>
        <w:t>,</w:t>
      </w:r>
      <w:r w:rsidRPr="00F74767">
        <w:t xml:space="preserve"> </w:t>
      </w:r>
      <w:r w:rsidRPr="00C94A2C">
        <w:rPr>
          <w:i/>
        </w:rPr>
        <w:t>Gospel of Matthew</w:t>
      </w:r>
      <w:r>
        <w:t>,</w:t>
      </w:r>
      <w:r w:rsidRPr="00F74767">
        <w:t xml:space="preserve"> 813) or a general critique against those who are proud (</w:t>
      </w:r>
      <w:r>
        <w:t xml:space="preserve">D. Marguerat, </w:t>
      </w:r>
      <w:r w:rsidRPr="005A0774">
        <w:rPr>
          <w:i/>
        </w:rPr>
        <w:t>Le Jugement dans l'Evangile de Matthieu</w:t>
      </w:r>
      <w:r>
        <w:t xml:space="preserve"> [Genève: Labor et Fides, 1981]</w:t>
      </w:r>
      <w:r w:rsidRPr="00F74767">
        <w:t xml:space="preserve"> 460; </w:t>
      </w:r>
      <w:r>
        <w:t xml:space="preserve">K.R. </w:t>
      </w:r>
      <w:r w:rsidRPr="00F74767">
        <w:t>Snodgrass</w:t>
      </w:r>
      <w:r>
        <w:t>,</w:t>
      </w:r>
      <w:r w:rsidRPr="00F74767">
        <w:t xml:space="preserve"> </w:t>
      </w:r>
      <w:r w:rsidRPr="005A0774">
        <w:rPr>
          <w:i/>
        </w:rPr>
        <w:t xml:space="preserve">Stories with Intent: A Comprehensive Guide to the Parables of Jesus </w:t>
      </w:r>
      <w:r>
        <w:t>[Grand Rapids: Eerdmans, 2008]</w:t>
      </w:r>
      <w:r w:rsidRPr="00F74767">
        <w:t xml:space="preserve"> 371), in light of the critique of God’s unrepentant people throughout this section, it is still possible to see this as a reference to those who remain unfaithful to God versu</w:t>
      </w:r>
      <w:bookmarkStart w:id="0" w:name="_GoBack"/>
      <w:bookmarkEnd w:id="0"/>
      <w:r w:rsidRPr="00F74767">
        <w:t>s the renewed people of God including both Jews and Gentiles who respond to the gospel (</w:t>
      </w:r>
      <w:r>
        <w:t xml:space="preserve">R.A. </w:t>
      </w:r>
      <w:r w:rsidRPr="00F74767">
        <w:t>Gundry</w:t>
      </w:r>
      <w:r>
        <w:t xml:space="preserve">, </w:t>
      </w:r>
      <w:r w:rsidRPr="005A0774">
        <w:rPr>
          <w:i/>
        </w:rPr>
        <w:t>The Sermon on the Mount: A Foundation for Understanding</w:t>
      </w:r>
      <w:r>
        <w:t xml:space="preserve"> [Waco, TX: Word, 1982]</w:t>
      </w:r>
      <w:r w:rsidRPr="00F74767">
        <w:t xml:space="preserve"> 399; </w:t>
      </w:r>
      <w:r>
        <w:t xml:space="preserve">B.B. </w:t>
      </w:r>
      <w:r w:rsidRPr="00F74767">
        <w:t>Scott</w:t>
      </w:r>
      <w:r>
        <w:t>,</w:t>
      </w:r>
      <w:r w:rsidRPr="00F74767">
        <w:t xml:space="preserve"> </w:t>
      </w:r>
      <w:r w:rsidRPr="005A0774">
        <w:rPr>
          <w:i/>
        </w:rPr>
        <w:t>Hear Then the Parable: A Commentary on the Parables of Jesus</w:t>
      </w:r>
      <w:r>
        <w:t xml:space="preserve"> [</w:t>
      </w:r>
      <w:r w:rsidRPr="005A0774">
        <w:t>Minneapolis: Fortress</w:t>
      </w:r>
      <w:r w:rsidRPr="00F74767">
        <w:t xml:space="preserve"> </w:t>
      </w:r>
      <w:r>
        <w:t>1989] 297; D.A. H</w:t>
      </w:r>
      <w:r w:rsidRPr="00F74767">
        <w:t>agner</w:t>
      </w:r>
      <w:r>
        <w:t xml:space="preserve">, </w:t>
      </w:r>
      <w:r w:rsidRPr="005A0774">
        <w:rPr>
          <w:i/>
        </w:rPr>
        <w:t>Matthew 14-28</w:t>
      </w:r>
      <w:r>
        <w:t xml:space="preserve"> (WBC; Dallas, TX: Word, 1993]</w:t>
      </w:r>
      <w:r w:rsidRPr="00F74767">
        <w:t xml:space="preserve"> 573;</w:t>
      </w:r>
      <w:r>
        <w:t xml:space="preserve"> R.T.</w:t>
      </w:r>
      <w:r w:rsidRPr="00F74767">
        <w:t xml:space="preserve"> France</w:t>
      </w:r>
      <w:r>
        <w:t xml:space="preserve">, </w:t>
      </w:r>
      <w:r w:rsidRPr="005A0774">
        <w:rPr>
          <w:i/>
        </w:rPr>
        <w:t>The Gospel of Matthew</w:t>
      </w:r>
      <w:r>
        <w:t xml:space="preserve"> [</w:t>
      </w:r>
      <w:r w:rsidRPr="005A0774">
        <w:t>NICNT; Grand Rapids: Eerdmans</w:t>
      </w:r>
      <w:r>
        <w:t>,</w:t>
      </w:r>
      <w:r w:rsidRPr="00F74767">
        <w:t xml:space="preserve"> 20</w:t>
      </w:r>
      <w:r>
        <w:t>07]</w:t>
      </w:r>
      <w:r w:rsidRPr="00F74767">
        <w:t xml:space="preserve"> 746). In any case, the theme of reversal is clear, and an implied critique of the Jewish leaders who continue to oppose Jesus cannot be denied.</w:t>
      </w:r>
    </w:p>
  </w:footnote>
  <w:footnote w:id="64">
    <w:p w:rsidR="00912254" w:rsidRPr="00F74767" w:rsidRDefault="00912254" w:rsidP="00386180">
      <w:pPr>
        <w:pStyle w:val="FootnoteText"/>
      </w:pPr>
      <w:r w:rsidRPr="00F74767">
        <w:rPr>
          <w:rStyle w:val="FootnoteReference"/>
        </w:rPr>
        <w:footnoteRef/>
      </w:r>
      <w:r w:rsidRPr="00F74767">
        <w:t xml:space="preserve"> See, in particular, </w:t>
      </w:r>
      <w:r>
        <w:t xml:space="preserve">J.C. </w:t>
      </w:r>
      <w:r w:rsidRPr="00F74767">
        <w:t>Anderson</w:t>
      </w:r>
      <w:r>
        <w:t>, “</w:t>
      </w:r>
      <w:r w:rsidRPr="005A0774">
        <w:t>Matthew: Sermon and Story</w:t>
      </w:r>
      <w:r>
        <w:rPr>
          <w:lang w:eastAsia="zh-TW"/>
        </w:rPr>
        <w:t>,”</w:t>
      </w:r>
      <w:r>
        <w:t xml:space="preserve"> in</w:t>
      </w:r>
      <w:r w:rsidRPr="005A0774">
        <w:t xml:space="preserve"> </w:t>
      </w:r>
      <w:r w:rsidRPr="005A0774">
        <w:rPr>
          <w:i/>
        </w:rPr>
        <w:t>Treasures New and Old: Contributions to Matthean Studies</w:t>
      </w:r>
      <w:r>
        <w:t xml:space="preserve"> [ed. </w:t>
      </w:r>
      <w:r w:rsidRPr="005A0774">
        <w:t>D</w:t>
      </w:r>
      <w:r>
        <w:t>.</w:t>
      </w:r>
      <w:r w:rsidRPr="005A0774">
        <w:t xml:space="preserve">R. Bauer and </w:t>
      </w:r>
      <w:r>
        <w:t>M.A.</w:t>
      </w:r>
      <w:r w:rsidRPr="005A0774">
        <w:t xml:space="preserve"> Powell</w:t>
      </w:r>
      <w:r>
        <w:t>; Atlanta: Scholars Press, 1996]</w:t>
      </w:r>
      <w:r w:rsidRPr="00F74767">
        <w:t xml:space="preserve"> 238) who correctly notes that </w:t>
      </w:r>
      <w:r>
        <w:t>19:</w:t>
      </w:r>
      <w:r w:rsidRPr="00F74767">
        <w:t>1-12 is not simply concerned with the presentation of the correct interpretation of the law, but it is a presentation of the Jewish leaders aligning with the devil in rejecting Jesus.</w:t>
      </w:r>
    </w:p>
  </w:footnote>
  <w:footnote w:id="65">
    <w:p w:rsidR="00912254" w:rsidRPr="00F74767" w:rsidRDefault="00912254" w:rsidP="00386180">
      <w:pPr>
        <w:pStyle w:val="FootnoteText"/>
      </w:pPr>
      <w:r w:rsidRPr="00F74767">
        <w:rPr>
          <w:rStyle w:val="FootnoteReference"/>
        </w:rPr>
        <w:footnoteRef/>
      </w:r>
      <w:r w:rsidRPr="00F74767">
        <w:t xml:space="preserve"> Although Jeremiah does consider the possibility of God divorcing his (entire) people, the remnant motif embedded in the later sections of his writings (cf. </w:t>
      </w:r>
      <w:r>
        <w:t>Jer 6:6-9; 23:1-8; 31:2-14; 40:1-45:5; 50:</w:t>
      </w:r>
      <w:r w:rsidRPr="00F74767">
        <w:t xml:space="preserve">21-46) does point to the presence of those who would continue to be God’s covenantal partner. In a similar way, one finds a division among God’s people in Matthew although a remnant motif is not explicitly developed in this Gospel.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20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
  <w:rsids>
    <w:rsidRoot w:val="00977E54"/>
    <w:rsid w:val="00022476"/>
    <w:rsid w:val="00030388"/>
    <w:rsid w:val="00030A83"/>
    <w:rsid w:val="000318A6"/>
    <w:rsid w:val="00044A52"/>
    <w:rsid w:val="0005092A"/>
    <w:rsid w:val="00050A76"/>
    <w:rsid w:val="00051711"/>
    <w:rsid w:val="0005185C"/>
    <w:rsid w:val="00061418"/>
    <w:rsid w:val="00070F93"/>
    <w:rsid w:val="000738CA"/>
    <w:rsid w:val="00074FFA"/>
    <w:rsid w:val="0008695D"/>
    <w:rsid w:val="0009372C"/>
    <w:rsid w:val="00095233"/>
    <w:rsid w:val="000A36DC"/>
    <w:rsid w:val="000A4100"/>
    <w:rsid w:val="000B708F"/>
    <w:rsid w:val="000C40A2"/>
    <w:rsid w:val="000D2DC1"/>
    <w:rsid w:val="000D47AD"/>
    <w:rsid w:val="000E0696"/>
    <w:rsid w:val="000E21F0"/>
    <w:rsid w:val="000E3168"/>
    <w:rsid w:val="000E6E85"/>
    <w:rsid w:val="000E71B6"/>
    <w:rsid w:val="000E7FB7"/>
    <w:rsid w:val="000F1F4C"/>
    <w:rsid w:val="001134D6"/>
    <w:rsid w:val="00116A67"/>
    <w:rsid w:val="001247BA"/>
    <w:rsid w:val="00124807"/>
    <w:rsid w:val="00126D39"/>
    <w:rsid w:val="001441DE"/>
    <w:rsid w:val="00150160"/>
    <w:rsid w:val="00160F1E"/>
    <w:rsid w:val="00172BDE"/>
    <w:rsid w:val="0017504C"/>
    <w:rsid w:val="001840C7"/>
    <w:rsid w:val="00194CF2"/>
    <w:rsid w:val="001954CD"/>
    <w:rsid w:val="001956C3"/>
    <w:rsid w:val="001A0B2B"/>
    <w:rsid w:val="001A60EA"/>
    <w:rsid w:val="001B68BD"/>
    <w:rsid w:val="001C151A"/>
    <w:rsid w:val="001C4540"/>
    <w:rsid w:val="001C5406"/>
    <w:rsid w:val="001C65FB"/>
    <w:rsid w:val="001D7330"/>
    <w:rsid w:val="001E23A3"/>
    <w:rsid w:val="001E5BAD"/>
    <w:rsid w:val="001E6D48"/>
    <w:rsid w:val="001F2FC1"/>
    <w:rsid w:val="0020548C"/>
    <w:rsid w:val="00212E87"/>
    <w:rsid w:val="00220D98"/>
    <w:rsid w:val="00225D39"/>
    <w:rsid w:val="0023035A"/>
    <w:rsid w:val="00240C26"/>
    <w:rsid w:val="00251AAE"/>
    <w:rsid w:val="0025722A"/>
    <w:rsid w:val="00261284"/>
    <w:rsid w:val="00261ACA"/>
    <w:rsid w:val="00277833"/>
    <w:rsid w:val="00286888"/>
    <w:rsid w:val="00293B35"/>
    <w:rsid w:val="00294FFE"/>
    <w:rsid w:val="002A2325"/>
    <w:rsid w:val="002C58FF"/>
    <w:rsid w:val="002D245B"/>
    <w:rsid w:val="002D795B"/>
    <w:rsid w:val="002E0A75"/>
    <w:rsid w:val="002F11BA"/>
    <w:rsid w:val="00305EE1"/>
    <w:rsid w:val="00311B78"/>
    <w:rsid w:val="00312F32"/>
    <w:rsid w:val="00325362"/>
    <w:rsid w:val="00330560"/>
    <w:rsid w:val="0033794F"/>
    <w:rsid w:val="00337E17"/>
    <w:rsid w:val="00341EAD"/>
    <w:rsid w:val="0034790D"/>
    <w:rsid w:val="00352D6C"/>
    <w:rsid w:val="00354E0B"/>
    <w:rsid w:val="00357A06"/>
    <w:rsid w:val="00361D4F"/>
    <w:rsid w:val="00366D93"/>
    <w:rsid w:val="0037294B"/>
    <w:rsid w:val="00374C8D"/>
    <w:rsid w:val="00380CFE"/>
    <w:rsid w:val="00386180"/>
    <w:rsid w:val="00391767"/>
    <w:rsid w:val="003A13E7"/>
    <w:rsid w:val="003B2B8B"/>
    <w:rsid w:val="003B3153"/>
    <w:rsid w:val="003B45FA"/>
    <w:rsid w:val="003B71D0"/>
    <w:rsid w:val="003E0DDF"/>
    <w:rsid w:val="003E0FF9"/>
    <w:rsid w:val="003E189F"/>
    <w:rsid w:val="003F4700"/>
    <w:rsid w:val="003F4794"/>
    <w:rsid w:val="003F5E77"/>
    <w:rsid w:val="004072B6"/>
    <w:rsid w:val="004161C1"/>
    <w:rsid w:val="004179D9"/>
    <w:rsid w:val="0043304F"/>
    <w:rsid w:val="00435C95"/>
    <w:rsid w:val="004372FE"/>
    <w:rsid w:val="00437A3A"/>
    <w:rsid w:val="004431C0"/>
    <w:rsid w:val="004558F9"/>
    <w:rsid w:val="00474290"/>
    <w:rsid w:val="0048059C"/>
    <w:rsid w:val="00482A84"/>
    <w:rsid w:val="0048311C"/>
    <w:rsid w:val="004833CE"/>
    <w:rsid w:val="004856FB"/>
    <w:rsid w:val="00486413"/>
    <w:rsid w:val="00492465"/>
    <w:rsid w:val="00493217"/>
    <w:rsid w:val="00495445"/>
    <w:rsid w:val="0049795B"/>
    <w:rsid w:val="004A08D2"/>
    <w:rsid w:val="004A47F9"/>
    <w:rsid w:val="004A5BBF"/>
    <w:rsid w:val="004F2282"/>
    <w:rsid w:val="004F3A52"/>
    <w:rsid w:val="00507382"/>
    <w:rsid w:val="005150BC"/>
    <w:rsid w:val="0051596B"/>
    <w:rsid w:val="00516ED4"/>
    <w:rsid w:val="00523C04"/>
    <w:rsid w:val="00525AF7"/>
    <w:rsid w:val="00527DFD"/>
    <w:rsid w:val="00530BE5"/>
    <w:rsid w:val="005450CA"/>
    <w:rsid w:val="005514E4"/>
    <w:rsid w:val="00552B26"/>
    <w:rsid w:val="005545B7"/>
    <w:rsid w:val="00566CFE"/>
    <w:rsid w:val="005673C6"/>
    <w:rsid w:val="00572807"/>
    <w:rsid w:val="00583D69"/>
    <w:rsid w:val="00584C6B"/>
    <w:rsid w:val="00597A41"/>
    <w:rsid w:val="005A0238"/>
    <w:rsid w:val="005A04EA"/>
    <w:rsid w:val="005A5A73"/>
    <w:rsid w:val="005B5200"/>
    <w:rsid w:val="005B5FCE"/>
    <w:rsid w:val="005C260C"/>
    <w:rsid w:val="005C2770"/>
    <w:rsid w:val="005D1D22"/>
    <w:rsid w:val="005D60B6"/>
    <w:rsid w:val="005E113B"/>
    <w:rsid w:val="005E141A"/>
    <w:rsid w:val="005E568E"/>
    <w:rsid w:val="005F11ED"/>
    <w:rsid w:val="005F1F0D"/>
    <w:rsid w:val="005F3EA9"/>
    <w:rsid w:val="005F4113"/>
    <w:rsid w:val="005F7AF9"/>
    <w:rsid w:val="0060004E"/>
    <w:rsid w:val="00601ACD"/>
    <w:rsid w:val="006056E0"/>
    <w:rsid w:val="006118B5"/>
    <w:rsid w:val="006118EB"/>
    <w:rsid w:val="006140DF"/>
    <w:rsid w:val="00621570"/>
    <w:rsid w:val="006341E3"/>
    <w:rsid w:val="00637232"/>
    <w:rsid w:val="00644E8B"/>
    <w:rsid w:val="00653545"/>
    <w:rsid w:val="006558EC"/>
    <w:rsid w:val="0066007F"/>
    <w:rsid w:val="006623DA"/>
    <w:rsid w:val="0067307C"/>
    <w:rsid w:val="00677460"/>
    <w:rsid w:val="00691142"/>
    <w:rsid w:val="0069199B"/>
    <w:rsid w:val="006A0969"/>
    <w:rsid w:val="006D063A"/>
    <w:rsid w:val="006D0AAC"/>
    <w:rsid w:val="006D52F9"/>
    <w:rsid w:val="006E4E1A"/>
    <w:rsid w:val="006E710D"/>
    <w:rsid w:val="006E76CD"/>
    <w:rsid w:val="006F5F9C"/>
    <w:rsid w:val="006F6482"/>
    <w:rsid w:val="0070005B"/>
    <w:rsid w:val="007039AD"/>
    <w:rsid w:val="007077D7"/>
    <w:rsid w:val="007168D7"/>
    <w:rsid w:val="00717AD4"/>
    <w:rsid w:val="0072234E"/>
    <w:rsid w:val="0072372B"/>
    <w:rsid w:val="00724BE9"/>
    <w:rsid w:val="00730587"/>
    <w:rsid w:val="00736E20"/>
    <w:rsid w:val="0074466E"/>
    <w:rsid w:val="00744F29"/>
    <w:rsid w:val="007463D7"/>
    <w:rsid w:val="00747326"/>
    <w:rsid w:val="00754FF7"/>
    <w:rsid w:val="00761900"/>
    <w:rsid w:val="00771B41"/>
    <w:rsid w:val="007721C1"/>
    <w:rsid w:val="00772C53"/>
    <w:rsid w:val="00773C42"/>
    <w:rsid w:val="00782DAE"/>
    <w:rsid w:val="0078358A"/>
    <w:rsid w:val="00783ADF"/>
    <w:rsid w:val="007A2C7B"/>
    <w:rsid w:val="007B21A1"/>
    <w:rsid w:val="007B3E81"/>
    <w:rsid w:val="007B782E"/>
    <w:rsid w:val="007C0037"/>
    <w:rsid w:val="007C6D0C"/>
    <w:rsid w:val="007D0F5F"/>
    <w:rsid w:val="007D3AC3"/>
    <w:rsid w:val="007D4B9E"/>
    <w:rsid w:val="007E0164"/>
    <w:rsid w:val="007E78B7"/>
    <w:rsid w:val="007F4855"/>
    <w:rsid w:val="007F62BA"/>
    <w:rsid w:val="00801E5F"/>
    <w:rsid w:val="00814232"/>
    <w:rsid w:val="008177A5"/>
    <w:rsid w:val="008241B0"/>
    <w:rsid w:val="00827780"/>
    <w:rsid w:val="0083114E"/>
    <w:rsid w:val="00836CC6"/>
    <w:rsid w:val="008423F0"/>
    <w:rsid w:val="00845518"/>
    <w:rsid w:val="00852410"/>
    <w:rsid w:val="0085293D"/>
    <w:rsid w:val="00867023"/>
    <w:rsid w:val="008677CB"/>
    <w:rsid w:val="00871067"/>
    <w:rsid w:val="0088031F"/>
    <w:rsid w:val="00887D3E"/>
    <w:rsid w:val="00896AE4"/>
    <w:rsid w:val="008A7B57"/>
    <w:rsid w:val="008B2EB8"/>
    <w:rsid w:val="008C39B5"/>
    <w:rsid w:val="008D2F99"/>
    <w:rsid w:val="008D3E5A"/>
    <w:rsid w:val="008E1920"/>
    <w:rsid w:val="008E715A"/>
    <w:rsid w:val="008F6124"/>
    <w:rsid w:val="0090026A"/>
    <w:rsid w:val="00900EEC"/>
    <w:rsid w:val="00906DE9"/>
    <w:rsid w:val="00911A9D"/>
    <w:rsid w:val="00912254"/>
    <w:rsid w:val="00925692"/>
    <w:rsid w:val="009260E5"/>
    <w:rsid w:val="00926505"/>
    <w:rsid w:val="00934579"/>
    <w:rsid w:val="009434E3"/>
    <w:rsid w:val="009461E9"/>
    <w:rsid w:val="00954743"/>
    <w:rsid w:val="0095694A"/>
    <w:rsid w:val="009600E0"/>
    <w:rsid w:val="00975272"/>
    <w:rsid w:val="00976A70"/>
    <w:rsid w:val="00977DF9"/>
    <w:rsid w:val="00977E54"/>
    <w:rsid w:val="00980352"/>
    <w:rsid w:val="009864EF"/>
    <w:rsid w:val="00997D9E"/>
    <w:rsid w:val="009A2A9B"/>
    <w:rsid w:val="009C2484"/>
    <w:rsid w:val="009C3792"/>
    <w:rsid w:val="009D0406"/>
    <w:rsid w:val="009D3BF0"/>
    <w:rsid w:val="009E0F44"/>
    <w:rsid w:val="009E2F91"/>
    <w:rsid w:val="009E72B4"/>
    <w:rsid w:val="009F05C8"/>
    <w:rsid w:val="009F3A1A"/>
    <w:rsid w:val="009F614E"/>
    <w:rsid w:val="009F78E6"/>
    <w:rsid w:val="00A04A66"/>
    <w:rsid w:val="00A05F4F"/>
    <w:rsid w:val="00A077CC"/>
    <w:rsid w:val="00A13049"/>
    <w:rsid w:val="00A15171"/>
    <w:rsid w:val="00A15229"/>
    <w:rsid w:val="00A1703E"/>
    <w:rsid w:val="00A40FB1"/>
    <w:rsid w:val="00A60893"/>
    <w:rsid w:val="00A651EB"/>
    <w:rsid w:val="00A652C9"/>
    <w:rsid w:val="00A73476"/>
    <w:rsid w:val="00A76C92"/>
    <w:rsid w:val="00A83065"/>
    <w:rsid w:val="00A92F73"/>
    <w:rsid w:val="00AA0C34"/>
    <w:rsid w:val="00AA24CB"/>
    <w:rsid w:val="00AA5528"/>
    <w:rsid w:val="00AB5C46"/>
    <w:rsid w:val="00AC1F47"/>
    <w:rsid w:val="00AC49F4"/>
    <w:rsid w:val="00AC7E83"/>
    <w:rsid w:val="00AE4148"/>
    <w:rsid w:val="00AE6E8F"/>
    <w:rsid w:val="00AE74AB"/>
    <w:rsid w:val="00AF2907"/>
    <w:rsid w:val="00AF388B"/>
    <w:rsid w:val="00AF46DE"/>
    <w:rsid w:val="00AF6930"/>
    <w:rsid w:val="00B05437"/>
    <w:rsid w:val="00B06B46"/>
    <w:rsid w:val="00B10581"/>
    <w:rsid w:val="00B2644A"/>
    <w:rsid w:val="00B46D90"/>
    <w:rsid w:val="00B55532"/>
    <w:rsid w:val="00B63430"/>
    <w:rsid w:val="00B63826"/>
    <w:rsid w:val="00B72E38"/>
    <w:rsid w:val="00B77EE0"/>
    <w:rsid w:val="00BB31A5"/>
    <w:rsid w:val="00BC2BB9"/>
    <w:rsid w:val="00BC57F9"/>
    <w:rsid w:val="00BE3155"/>
    <w:rsid w:val="00BE51DE"/>
    <w:rsid w:val="00BE7BB2"/>
    <w:rsid w:val="00BF3CA7"/>
    <w:rsid w:val="00C03892"/>
    <w:rsid w:val="00C06FD7"/>
    <w:rsid w:val="00C2423F"/>
    <w:rsid w:val="00C370E7"/>
    <w:rsid w:val="00C42A5A"/>
    <w:rsid w:val="00C4384B"/>
    <w:rsid w:val="00C56ECD"/>
    <w:rsid w:val="00C56FE8"/>
    <w:rsid w:val="00C615FD"/>
    <w:rsid w:val="00C67219"/>
    <w:rsid w:val="00C74B6D"/>
    <w:rsid w:val="00C83E59"/>
    <w:rsid w:val="00C91C4A"/>
    <w:rsid w:val="00C94A2C"/>
    <w:rsid w:val="00C95A79"/>
    <w:rsid w:val="00CA35C9"/>
    <w:rsid w:val="00CA7343"/>
    <w:rsid w:val="00CB0B64"/>
    <w:rsid w:val="00CC338F"/>
    <w:rsid w:val="00CC63A0"/>
    <w:rsid w:val="00CC6CC9"/>
    <w:rsid w:val="00CC7E90"/>
    <w:rsid w:val="00CD272D"/>
    <w:rsid w:val="00CD5B9D"/>
    <w:rsid w:val="00CE0003"/>
    <w:rsid w:val="00CE17EE"/>
    <w:rsid w:val="00CE2891"/>
    <w:rsid w:val="00CE2C80"/>
    <w:rsid w:val="00CF6269"/>
    <w:rsid w:val="00D0414C"/>
    <w:rsid w:val="00D06D86"/>
    <w:rsid w:val="00D10469"/>
    <w:rsid w:val="00D13D15"/>
    <w:rsid w:val="00D17F27"/>
    <w:rsid w:val="00D22F13"/>
    <w:rsid w:val="00D26F26"/>
    <w:rsid w:val="00D31973"/>
    <w:rsid w:val="00D32A5D"/>
    <w:rsid w:val="00D36ACF"/>
    <w:rsid w:val="00D37500"/>
    <w:rsid w:val="00D41763"/>
    <w:rsid w:val="00D50020"/>
    <w:rsid w:val="00D5016C"/>
    <w:rsid w:val="00D5030E"/>
    <w:rsid w:val="00D53F84"/>
    <w:rsid w:val="00D65ED5"/>
    <w:rsid w:val="00D66CC2"/>
    <w:rsid w:val="00D66E09"/>
    <w:rsid w:val="00D72F3A"/>
    <w:rsid w:val="00D836E3"/>
    <w:rsid w:val="00D83FEE"/>
    <w:rsid w:val="00D87640"/>
    <w:rsid w:val="00D902E2"/>
    <w:rsid w:val="00D90EC7"/>
    <w:rsid w:val="00D96B8D"/>
    <w:rsid w:val="00DA60C5"/>
    <w:rsid w:val="00DA7B1D"/>
    <w:rsid w:val="00DB235C"/>
    <w:rsid w:val="00DC0145"/>
    <w:rsid w:val="00DC11D1"/>
    <w:rsid w:val="00DC2840"/>
    <w:rsid w:val="00DC5C5F"/>
    <w:rsid w:val="00DC68C8"/>
    <w:rsid w:val="00DD2808"/>
    <w:rsid w:val="00DE5412"/>
    <w:rsid w:val="00DF485E"/>
    <w:rsid w:val="00DF6352"/>
    <w:rsid w:val="00DF69C7"/>
    <w:rsid w:val="00E04F96"/>
    <w:rsid w:val="00E12002"/>
    <w:rsid w:val="00E120D9"/>
    <w:rsid w:val="00E125BF"/>
    <w:rsid w:val="00E22E52"/>
    <w:rsid w:val="00E24F8C"/>
    <w:rsid w:val="00E269E2"/>
    <w:rsid w:val="00E34B8B"/>
    <w:rsid w:val="00E355B6"/>
    <w:rsid w:val="00E41A5A"/>
    <w:rsid w:val="00E42490"/>
    <w:rsid w:val="00E437DE"/>
    <w:rsid w:val="00E47F8B"/>
    <w:rsid w:val="00E64709"/>
    <w:rsid w:val="00E658DB"/>
    <w:rsid w:val="00E742D9"/>
    <w:rsid w:val="00E759E1"/>
    <w:rsid w:val="00E77F19"/>
    <w:rsid w:val="00E82B53"/>
    <w:rsid w:val="00E838AF"/>
    <w:rsid w:val="00E918F8"/>
    <w:rsid w:val="00E9327A"/>
    <w:rsid w:val="00E934DA"/>
    <w:rsid w:val="00E935CD"/>
    <w:rsid w:val="00E966FD"/>
    <w:rsid w:val="00EA069C"/>
    <w:rsid w:val="00EA22C1"/>
    <w:rsid w:val="00EA7850"/>
    <w:rsid w:val="00EB1B68"/>
    <w:rsid w:val="00EB4ABB"/>
    <w:rsid w:val="00EC5853"/>
    <w:rsid w:val="00EC6726"/>
    <w:rsid w:val="00EC79DC"/>
    <w:rsid w:val="00ED3F94"/>
    <w:rsid w:val="00ED4632"/>
    <w:rsid w:val="00ED522C"/>
    <w:rsid w:val="00ED64B1"/>
    <w:rsid w:val="00EE04E5"/>
    <w:rsid w:val="00EF3B13"/>
    <w:rsid w:val="00EF4041"/>
    <w:rsid w:val="00EF604A"/>
    <w:rsid w:val="00F00E74"/>
    <w:rsid w:val="00F02B85"/>
    <w:rsid w:val="00F03F31"/>
    <w:rsid w:val="00F03FF9"/>
    <w:rsid w:val="00F12833"/>
    <w:rsid w:val="00F173D5"/>
    <w:rsid w:val="00F25DE3"/>
    <w:rsid w:val="00F40114"/>
    <w:rsid w:val="00F57269"/>
    <w:rsid w:val="00F57FC2"/>
    <w:rsid w:val="00F60372"/>
    <w:rsid w:val="00F60F79"/>
    <w:rsid w:val="00F614F4"/>
    <w:rsid w:val="00F72499"/>
    <w:rsid w:val="00F74767"/>
    <w:rsid w:val="00F752DA"/>
    <w:rsid w:val="00F75597"/>
    <w:rsid w:val="00F76A72"/>
    <w:rsid w:val="00F81303"/>
    <w:rsid w:val="00F81677"/>
    <w:rsid w:val="00F82B11"/>
    <w:rsid w:val="00F83B35"/>
    <w:rsid w:val="00F85F6D"/>
    <w:rsid w:val="00F90C96"/>
    <w:rsid w:val="00F92C72"/>
    <w:rsid w:val="00F96A84"/>
    <w:rsid w:val="00FA1ABD"/>
    <w:rsid w:val="00FA32D7"/>
    <w:rsid w:val="00FA4A95"/>
    <w:rsid w:val="00FA7E38"/>
    <w:rsid w:val="00FB07FE"/>
    <w:rsid w:val="00FC5272"/>
    <w:rsid w:val="00FE5265"/>
    <w:rsid w:val="00FF3C60"/>
  </w:rsids>
  <m:mathPr>
    <m:mathFont m:val="Arial Black"/>
    <m:brkBin m:val="before"/>
    <m:brkBinSub m:val="--"/>
    <m:smallFrac/>
    <m:dispDef/>
    <m:lMargin m:val="0"/>
    <m:rMargin m:val="0"/>
    <m:defJc m:val="centerGroup"/>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84E"/>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E437DE"/>
    <w:rPr>
      <w:rFonts w:ascii="Tahoma" w:hAnsi="Tahoma" w:cs="Tahoma"/>
      <w:sz w:val="16"/>
      <w:szCs w:val="16"/>
    </w:rPr>
  </w:style>
  <w:style w:type="character" w:customStyle="1" w:styleId="BalloonTextChar">
    <w:name w:val="Balloon Text Char"/>
    <w:basedOn w:val="DefaultParagraphFont"/>
    <w:link w:val="BalloonText"/>
    <w:uiPriority w:val="99"/>
    <w:semiHidden/>
    <w:rsid w:val="001A1F07"/>
    <w:rPr>
      <w:rFonts w:ascii="Lucida Grande" w:hAnsi="Lucida Grande"/>
      <w:sz w:val="18"/>
      <w:szCs w:val="18"/>
    </w:rPr>
  </w:style>
  <w:style w:type="character" w:customStyle="1" w:styleId="BalloonTextChar0">
    <w:name w:val="Balloon Text Char"/>
    <w:basedOn w:val="DefaultParagraphFont"/>
    <w:link w:val="BalloonText"/>
    <w:uiPriority w:val="99"/>
    <w:semiHidden/>
    <w:rsid w:val="001A1F07"/>
    <w:rPr>
      <w:rFonts w:ascii="Lucida Grande" w:hAnsi="Lucida Grande"/>
      <w:sz w:val="18"/>
      <w:szCs w:val="18"/>
    </w:rPr>
  </w:style>
  <w:style w:type="character" w:customStyle="1" w:styleId="BalloonTextChar2">
    <w:name w:val="Balloon Text Char"/>
    <w:basedOn w:val="DefaultParagraphFont"/>
    <w:link w:val="BalloonText"/>
    <w:uiPriority w:val="99"/>
    <w:semiHidden/>
    <w:rsid w:val="00F67E99"/>
    <w:rPr>
      <w:rFonts w:ascii="Lucida Grande" w:hAnsi="Lucida Grande"/>
      <w:sz w:val="18"/>
      <w:szCs w:val="18"/>
    </w:rPr>
  </w:style>
  <w:style w:type="character" w:customStyle="1" w:styleId="BalloonTextChar3">
    <w:name w:val="Balloon Text Char"/>
    <w:basedOn w:val="DefaultParagraphFont"/>
    <w:link w:val="BalloonText"/>
    <w:uiPriority w:val="99"/>
    <w:semiHidden/>
    <w:rsid w:val="00F67E99"/>
    <w:rPr>
      <w:rFonts w:ascii="Lucida Grande" w:hAnsi="Lucida Grande"/>
      <w:sz w:val="18"/>
      <w:szCs w:val="18"/>
    </w:rPr>
  </w:style>
  <w:style w:type="character" w:customStyle="1" w:styleId="BalloonTextChar4">
    <w:name w:val="Balloon Text Char"/>
    <w:basedOn w:val="DefaultParagraphFont"/>
    <w:link w:val="BalloonText"/>
    <w:uiPriority w:val="99"/>
    <w:semiHidden/>
    <w:rsid w:val="00A464DA"/>
    <w:rPr>
      <w:rFonts w:ascii="Lucida Grande" w:hAnsi="Lucida Grande"/>
      <w:sz w:val="18"/>
      <w:szCs w:val="18"/>
    </w:rPr>
  </w:style>
  <w:style w:type="character" w:customStyle="1" w:styleId="BalloonTextChar5">
    <w:name w:val="Balloon Text Char"/>
    <w:basedOn w:val="DefaultParagraphFont"/>
    <w:link w:val="BalloonText"/>
    <w:uiPriority w:val="99"/>
    <w:semiHidden/>
    <w:rsid w:val="00A464DA"/>
    <w:rPr>
      <w:rFonts w:ascii="Lucida Grande" w:hAnsi="Lucida Grande"/>
      <w:sz w:val="18"/>
      <w:szCs w:val="18"/>
    </w:rPr>
  </w:style>
  <w:style w:type="character" w:customStyle="1" w:styleId="BalloonTextChar6">
    <w:name w:val="Balloon Text Char"/>
    <w:basedOn w:val="DefaultParagraphFont"/>
    <w:link w:val="BalloonText"/>
    <w:uiPriority w:val="99"/>
    <w:semiHidden/>
    <w:rsid w:val="00730BCF"/>
    <w:rPr>
      <w:rFonts w:ascii="Lucida Grande" w:hAnsi="Lucida Grande"/>
      <w:sz w:val="18"/>
      <w:szCs w:val="18"/>
    </w:rPr>
  </w:style>
  <w:style w:type="character" w:customStyle="1" w:styleId="BalloonTextChar7">
    <w:name w:val="Balloon Text Char"/>
    <w:basedOn w:val="DefaultParagraphFont"/>
    <w:link w:val="BalloonText"/>
    <w:uiPriority w:val="99"/>
    <w:semiHidden/>
    <w:rsid w:val="00730BCF"/>
    <w:rPr>
      <w:rFonts w:ascii="Lucida Grande" w:hAnsi="Lucida Grande"/>
      <w:sz w:val="18"/>
      <w:szCs w:val="18"/>
    </w:rPr>
  </w:style>
  <w:style w:type="character" w:customStyle="1" w:styleId="BalloonTextChar8">
    <w:name w:val="Balloon Text Char"/>
    <w:basedOn w:val="DefaultParagraphFont"/>
    <w:uiPriority w:val="99"/>
    <w:semiHidden/>
    <w:rsid w:val="00880095"/>
    <w:rPr>
      <w:rFonts w:ascii="Lucida Grande" w:hAnsi="Lucida Grande"/>
      <w:sz w:val="18"/>
      <w:szCs w:val="18"/>
    </w:rPr>
  </w:style>
  <w:style w:type="character" w:customStyle="1" w:styleId="BalloonTextChar9">
    <w:name w:val="Balloon Text Char"/>
    <w:basedOn w:val="DefaultParagraphFont"/>
    <w:uiPriority w:val="99"/>
    <w:semiHidden/>
    <w:rsid w:val="00880095"/>
    <w:rPr>
      <w:rFonts w:ascii="Lucida Grande" w:hAnsi="Lucida Grande"/>
      <w:sz w:val="18"/>
      <w:szCs w:val="18"/>
    </w:rPr>
  </w:style>
  <w:style w:type="paragraph" w:styleId="EnvelopeAddress">
    <w:name w:val="envelope address"/>
    <w:basedOn w:val="Normal"/>
    <w:uiPriority w:val="99"/>
    <w:semiHidden/>
    <w:unhideWhenUsed/>
    <w:rsid w:val="00771B05"/>
    <w:pPr>
      <w:framePr w:w="7920" w:h="1980" w:hRule="exact" w:hSpace="180" w:wrap="auto" w:hAnchor="page" w:xAlign="center" w:yAlign="bottom"/>
      <w:ind w:left="2880"/>
    </w:pPr>
    <w:rPr>
      <w:rFonts w:asciiTheme="majorHAnsi" w:eastAsiaTheme="majorEastAsia" w:hAnsiTheme="majorHAnsi" w:cstheme="majorBidi"/>
      <w:sz w:val="28"/>
      <w:szCs w:val="24"/>
    </w:rPr>
  </w:style>
  <w:style w:type="paragraph" w:styleId="FootnoteText">
    <w:name w:val="footnote text"/>
    <w:basedOn w:val="Normal"/>
    <w:link w:val="FootnoteTextChar"/>
    <w:unhideWhenUsed/>
    <w:rsid w:val="00E658DB"/>
    <w:rPr>
      <w:szCs w:val="24"/>
    </w:rPr>
  </w:style>
  <w:style w:type="character" w:customStyle="1" w:styleId="FootnoteTextChar">
    <w:name w:val="Footnote Text Char"/>
    <w:basedOn w:val="DefaultParagraphFont"/>
    <w:link w:val="FootnoteText"/>
    <w:rsid w:val="00E658DB"/>
    <w:rPr>
      <w:sz w:val="24"/>
      <w:szCs w:val="24"/>
    </w:rPr>
  </w:style>
  <w:style w:type="character" w:styleId="FootnoteReference">
    <w:name w:val="footnote reference"/>
    <w:basedOn w:val="DefaultParagraphFont"/>
    <w:uiPriority w:val="99"/>
    <w:semiHidden/>
    <w:unhideWhenUsed/>
    <w:rsid w:val="00E658DB"/>
    <w:rPr>
      <w:vertAlign w:val="superscript"/>
    </w:rPr>
  </w:style>
  <w:style w:type="paragraph" w:styleId="Footer">
    <w:name w:val="footer"/>
    <w:basedOn w:val="Normal"/>
    <w:link w:val="FooterChar"/>
    <w:uiPriority w:val="99"/>
    <w:semiHidden/>
    <w:unhideWhenUsed/>
    <w:rsid w:val="00C06FD7"/>
    <w:pPr>
      <w:tabs>
        <w:tab w:val="center" w:pos="4320"/>
        <w:tab w:val="right" w:pos="8640"/>
      </w:tabs>
    </w:pPr>
  </w:style>
  <w:style w:type="character" w:customStyle="1" w:styleId="FooterChar">
    <w:name w:val="Footer Char"/>
    <w:basedOn w:val="DefaultParagraphFont"/>
    <w:link w:val="Footer"/>
    <w:uiPriority w:val="99"/>
    <w:semiHidden/>
    <w:rsid w:val="00C06FD7"/>
    <w:rPr>
      <w:sz w:val="24"/>
    </w:rPr>
  </w:style>
  <w:style w:type="character" w:styleId="PageNumber">
    <w:name w:val="page number"/>
    <w:basedOn w:val="DefaultParagraphFont"/>
    <w:uiPriority w:val="99"/>
    <w:semiHidden/>
    <w:unhideWhenUsed/>
    <w:rsid w:val="00C06FD7"/>
  </w:style>
  <w:style w:type="paragraph" w:customStyle="1" w:styleId="Default">
    <w:name w:val="Default"/>
    <w:rsid w:val="00D31973"/>
    <w:pPr>
      <w:widowControl w:val="0"/>
      <w:autoSpaceDE w:val="0"/>
      <w:autoSpaceDN w:val="0"/>
      <w:adjustRightInd w:val="0"/>
    </w:pPr>
    <w:rPr>
      <w:rFonts w:ascii="Times" w:eastAsia="PMingLiU" w:hAnsi="Times" w:cs="Times"/>
      <w:color w:val="000000"/>
      <w:sz w:val="24"/>
      <w:szCs w:val="24"/>
    </w:rPr>
  </w:style>
  <w:style w:type="character" w:styleId="CommentReference">
    <w:name w:val="annotation reference"/>
    <w:basedOn w:val="DefaultParagraphFont"/>
    <w:uiPriority w:val="99"/>
    <w:semiHidden/>
    <w:unhideWhenUsed/>
    <w:rsid w:val="00E437DE"/>
    <w:rPr>
      <w:sz w:val="16"/>
      <w:szCs w:val="16"/>
    </w:rPr>
  </w:style>
  <w:style w:type="paragraph" w:styleId="CommentText">
    <w:name w:val="annotation text"/>
    <w:basedOn w:val="Normal"/>
    <w:link w:val="CommentTextChar"/>
    <w:uiPriority w:val="99"/>
    <w:semiHidden/>
    <w:unhideWhenUsed/>
    <w:rsid w:val="00E437DE"/>
    <w:rPr>
      <w:sz w:val="20"/>
    </w:rPr>
  </w:style>
  <w:style w:type="character" w:customStyle="1" w:styleId="CommentTextChar">
    <w:name w:val="Comment Text Char"/>
    <w:basedOn w:val="DefaultParagraphFont"/>
    <w:link w:val="CommentText"/>
    <w:uiPriority w:val="99"/>
    <w:semiHidden/>
    <w:rsid w:val="00E437DE"/>
  </w:style>
  <w:style w:type="paragraph" w:styleId="CommentSubject">
    <w:name w:val="annotation subject"/>
    <w:basedOn w:val="CommentText"/>
    <w:next w:val="CommentText"/>
    <w:link w:val="CommentSubjectChar"/>
    <w:uiPriority w:val="99"/>
    <w:semiHidden/>
    <w:unhideWhenUsed/>
    <w:rsid w:val="00E437DE"/>
    <w:rPr>
      <w:b/>
      <w:bCs/>
    </w:rPr>
  </w:style>
  <w:style w:type="character" w:customStyle="1" w:styleId="CommentSubjectChar">
    <w:name w:val="Comment Subject Char"/>
    <w:basedOn w:val="CommentTextChar"/>
    <w:link w:val="CommentSubject"/>
    <w:uiPriority w:val="99"/>
    <w:semiHidden/>
    <w:rsid w:val="00E437DE"/>
    <w:rPr>
      <w:b/>
      <w:bCs/>
    </w:rPr>
  </w:style>
  <w:style w:type="character" w:customStyle="1" w:styleId="BalloonTextChar1">
    <w:name w:val="Balloon Text Char1"/>
    <w:basedOn w:val="DefaultParagraphFont"/>
    <w:link w:val="BalloonText"/>
    <w:uiPriority w:val="99"/>
    <w:semiHidden/>
    <w:rsid w:val="00E437DE"/>
    <w:rPr>
      <w:rFonts w:ascii="Tahoma" w:hAnsi="Tahoma" w:cs="Tahoma"/>
      <w:sz w:val="16"/>
      <w:szCs w:val="16"/>
    </w:rPr>
  </w:style>
  <w:style w:type="paragraph" w:styleId="Header">
    <w:name w:val="header"/>
    <w:basedOn w:val="Normal"/>
    <w:link w:val="HeaderChar"/>
    <w:uiPriority w:val="99"/>
    <w:semiHidden/>
    <w:unhideWhenUsed/>
    <w:rsid w:val="00B63826"/>
    <w:pPr>
      <w:tabs>
        <w:tab w:val="center" w:pos="4320"/>
        <w:tab w:val="right" w:pos="8640"/>
      </w:tabs>
    </w:pPr>
  </w:style>
  <w:style w:type="character" w:customStyle="1" w:styleId="HeaderChar">
    <w:name w:val="Header Char"/>
    <w:basedOn w:val="DefaultParagraphFont"/>
    <w:link w:val="Header"/>
    <w:uiPriority w:val="99"/>
    <w:semiHidden/>
    <w:rsid w:val="00B63826"/>
    <w:rPr>
      <w:sz w:val="24"/>
    </w:rPr>
  </w:style>
  <w:style w:type="paragraph" w:styleId="Revision">
    <w:name w:val="Revision"/>
    <w:hidden/>
    <w:uiPriority w:val="99"/>
    <w:semiHidden/>
    <w:rsid w:val="0069199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84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437DE"/>
    <w:rPr>
      <w:rFonts w:ascii="Tahoma" w:hAnsi="Tahoma" w:cs="Tahoma"/>
      <w:sz w:val="16"/>
      <w:szCs w:val="16"/>
    </w:rPr>
  </w:style>
  <w:style w:type="character" w:customStyle="1" w:styleId="BalloonTextChar">
    <w:name w:val="Balloon Text Char"/>
    <w:basedOn w:val="DefaultParagraphFont"/>
    <w:uiPriority w:val="99"/>
    <w:semiHidden/>
    <w:rsid w:val="00880095"/>
    <w:rPr>
      <w:rFonts w:ascii="Lucida Grande" w:hAnsi="Lucida Grande"/>
      <w:sz w:val="18"/>
      <w:szCs w:val="18"/>
    </w:rPr>
  </w:style>
  <w:style w:type="character" w:customStyle="1" w:styleId="BalloonTextChar0">
    <w:name w:val="Balloon Text Char"/>
    <w:basedOn w:val="DefaultParagraphFont"/>
    <w:uiPriority w:val="99"/>
    <w:semiHidden/>
    <w:rsid w:val="00880095"/>
    <w:rPr>
      <w:rFonts w:ascii="Lucida Grande" w:hAnsi="Lucida Grande"/>
      <w:sz w:val="18"/>
      <w:szCs w:val="18"/>
    </w:rPr>
  </w:style>
  <w:style w:type="paragraph" w:styleId="EnvelopeAddress">
    <w:name w:val="envelope address"/>
    <w:basedOn w:val="Normal"/>
    <w:uiPriority w:val="99"/>
    <w:semiHidden/>
    <w:unhideWhenUsed/>
    <w:rsid w:val="00771B05"/>
    <w:pPr>
      <w:framePr w:w="7920" w:h="1980" w:hRule="exact" w:hSpace="180" w:wrap="auto" w:hAnchor="page" w:xAlign="center" w:yAlign="bottom"/>
      <w:ind w:left="2880"/>
    </w:pPr>
    <w:rPr>
      <w:rFonts w:asciiTheme="majorHAnsi" w:eastAsiaTheme="majorEastAsia" w:hAnsiTheme="majorHAnsi" w:cstheme="majorBidi"/>
      <w:sz w:val="28"/>
      <w:szCs w:val="24"/>
    </w:rPr>
  </w:style>
  <w:style w:type="paragraph" w:styleId="FootnoteText">
    <w:name w:val="footnote text"/>
    <w:basedOn w:val="Normal"/>
    <w:link w:val="FootnoteTextChar"/>
    <w:unhideWhenUsed/>
    <w:rsid w:val="00E658DB"/>
    <w:rPr>
      <w:szCs w:val="24"/>
    </w:rPr>
  </w:style>
  <w:style w:type="character" w:customStyle="1" w:styleId="FootnoteTextChar">
    <w:name w:val="Footnote Text Char"/>
    <w:basedOn w:val="DefaultParagraphFont"/>
    <w:link w:val="FootnoteText"/>
    <w:rsid w:val="00E658DB"/>
    <w:rPr>
      <w:sz w:val="24"/>
      <w:szCs w:val="24"/>
    </w:rPr>
  </w:style>
  <w:style w:type="character" w:styleId="FootnoteReference">
    <w:name w:val="footnote reference"/>
    <w:basedOn w:val="DefaultParagraphFont"/>
    <w:uiPriority w:val="99"/>
    <w:semiHidden/>
    <w:unhideWhenUsed/>
    <w:rsid w:val="00E658DB"/>
    <w:rPr>
      <w:vertAlign w:val="superscript"/>
    </w:rPr>
  </w:style>
  <w:style w:type="paragraph" w:styleId="Footer">
    <w:name w:val="footer"/>
    <w:basedOn w:val="Normal"/>
    <w:link w:val="FooterChar"/>
    <w:uiPriority w:val="99"/>
    <w:semiHidden/>
    <w:unhideWhenUsed/>
    <w:rsid w:val="00C06FD7"/>
    <w:pPr>
      <w:tabs>
        <w:tab w:val="center" w:pos="4320"/>
        <w:tab w:val="right" w:pos="8640"/>
      </w:tabs>
    </w:pPr>
  </w:style>
  <w:style w:type="character" w:customStyle="1" w:styleId="FooterChar">
    <w:name w:val="Footer Char"/>
    <w:basedOn w:val="DefaultParagraphFont"/>
    <w:link w:val="Footer"/>
    <w:uiPriority w:val="99"/>
    <w:semiHidden/>
    <w:rsid w:val="00C06FD7"/>
    <w:rPr>
      <w:sz w:val="24"/>
    </w:rPr>
  </w:style>
  <w:style w:type="character" w:styleId="PageNumber">
    <w:name w:val="page number"/>
    <w:basedOn w:val="DefaultParagraphFont"/>
    <w:uiPriority w:val="99"/>
    <w:semiHidden/>
    <w:unhideWhenUsed/>
    <w:rsid w:val="00C06FD7"/>
  </w:style>
  <w:style w:type="paragraph" w:customStyle="1" w:styleId="Default">
    <w:name w:val="Default"/>
    <w:rsid w:val="00D31973"/>
    <w:pPr>
      <w:widowControl w:val="0"/>
      <w:autoSpaceDE w:val="0"/>
      <w:autoSpaceDN w:val="0"/>
      <w:adjustRightInd w:val="0"/>
    </w:pPr>
    <w:rPr>
      <w:rFonts w:ascii="Times" w:eastAsia="PMingLiU" w:hAnsi="Times" w:cs="Times"/>
      <w:color w:val="000000"/>
      <w:sz w:val="24"/>
      <w:szCs w:val="24"/>
    </w:rPr>
  </w:style>
  <w:style w:type="character" w:styleId="CommentReference">
    <w:name w:val="annotation reference"/>
    <w:basedOn w:val="DefaultParagraphFont"/>
    <w:uiPriority w:val="99"/>
    <w:semiHidden/>
    <w:unhideWhenUsed/>
    <w:rsid w:val="00E437DE"/>
    <w:rPr>
      <w:sz w:val="16"/>
      <w:szCs w:val="16"/>
    </w:rPr>
  </w:style>
  <w:style w:type="paragraph" w:styleId="CommentText">
    <w:name w:val="annotation text"/>
    <w:basedOn w:val="Normal"/>
    <w:link w:val="CommentTextChar"/>
    <w:uiPriority w:val="99"/>
    <w:semiHidden/>
    <w:unhideWhenUsed/>
    <w:rsid w:val="00E437DE"/>
    <w:rPr>
      <w:sz w:val="20"/>
    </w:rPr>
  </w:style>
  <w:style w:type="character" w:customStyle="1" w:styleId="CommentTextChar">
    <w:name w:val="Comment Text Char"/>
    <w:basedOn w:val="DefaultParagraphFont"/>
    <w:link w:val="CommentText"/>
    <w:uiPriority w:val="99"/>
    <w:semiHidden/>
    <w:rsid w:val="00E437DE"/>
  </w:style>
  <w:style w:type="paragraph" w:styleId="CommentSubject">
    <w:name w:val="annotation subject"/>
    <w:basedOn w:val="CommentText"/>
    <w:next w:val="CommentText"/>
    <w:link w:val="CommentSubjectChar"/>
    <w:uiPriority w:val="99"/>
    <w:semiHidden/>
    <w:unhideWhenUsed/>
    <w:rsid w:val="00E437DE"/>
    <w:rPr>
      <w:b/>
      <w:bCs/>
    </w:rPr>
  </w:style>
  <w:style w:type="character" w:customStyle="1" w:styleId="CommentSubjectChar">
    <w:name w:val="Comment Subject Char"/>
    <w:basedOn w:val="CommentTextChar"/>
    <w:link w:val="CommentSubject"/>
    <w:uiPriority w:val="99"/>
    <w:semiHidden/>
    <w:rsid w:val="00E437DE"/>
    <w:rPr>
      <w:b/>
      <w:bCs/>
    </w:rPr>
  </w:style>
  <w:style w:type="character" w:customStyle="1" w:styleId="BalloonTextChar1">
    <w:name w:val="Balloon Text Char1"/>
    <w:basedOn w:val="DefaultParagraphFont"/>
    <w:link w:val="BalloonText"/>
    <w:uiPriority w:val="99"/>
    <w:semiHidden/>
    <w:rsid w:val="00E437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0261828">
      <w:bodyDiv w:val="1"/>
      <w:marLeft w:val="0"/>
      <w:marRight w:val="0"/>
      <w:marTop w:val="0"/>
      <w:marBottom w:val="0"/>
      <w:divBdr>
        <w:top w:val="none" w:sz="0" w:space="0" w:color="auto"/>
        <w:left w:val="none" w:sz="0" w:space="0" w:color="auto"/>
        <w:bottom w:val="none" w:sz="0" w:space="0" w:color="auto"/>
        <w:right w:val="none" w:sz="0" w:space="0" w:color="auto"/>
      </w:divBdr>
      <w:divsChild>
        <w:div w:id="1209143026">
          <w:marLeft w:val="0"/>
          <w:marRight w:val="0"/>
          <w:marTop w:val="0"/>
          <w:marBottom w:val="0"/>
          <w:divBdr>
            <w:top w:val="none" w:sz="0" w:space="0" w:color="auto"/>
            <w:left w:val="none" w:sz="0" w:space="0" w:color="auto"/>
            <w:bottom w:val="none" w:sz="0" w:space="0" w:color="auto"/>
            <w:right w:val="none" w:sz="0" w:space="0" w:color="auto"/>
          </w:divBdr>
        </w:div>
        <w:div w:id="200948425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DD7E4-6AAC-C24A-915A-CEAFE5468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17</Pages>
  <Words>4580</Words>
  <Characters>26108</Characters>
  <Application>Microsoft Macintosh Word</Application>
  <DocSecurity>0</DocSecurity>
  <Lines>217</Lines>
  <Paragraphs>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32062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Pao</dc:creator>
  <cp:keywords/>
  <dc:description/>
  <cp:lastModifiedBy>David Pao</cp:lastModifiedBy>
  <cp:revision>10</cp:revision>
  <cp:lastPrinted>2013-04-10T03:39:00Z</cp:lastPrinted>
  <dcterms:created xsi:type="dcterms:W3CDTF">2013-04-09T04:33:00Z</dcterms:created>
  <dcterms:modified xsi:type="dcterms:W3CDTF">2013-04-10T03:47:00Z</dcterms:modified>
  <cp:category/>
</cp:coreProperties>
</file>